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1F" w:rsidRPr="005F39D6" w:rsidRDefault="007D461F" w:rsidP="005F3509">
      <w:pPr>
        <w:jc w:val="center"/>
        <w:rPr>
          <w:b/>
          <w:sz w:val="22"/>
          <w:szCs w:val="22"/>
          <w:u w:val="single"/>
        </w:rPr>
      </w:pPr>
      <w:bookmarkStart w:id="0" w:name="_GoBack"/>
      <w:bookmarkEnd w:id="0"/>
      <w:r>
        <w:rPr>
          <w:b/>
          <w:sz w:val="22"/>
          <w:u w:val="single"/>
        </w:rPr>
        <w:t>Общ регламент за групово освобождаване (Регламент № 651/2014) — работен документ</w:t>
      </w:r>
    </w:p>
    <w:p w:rsidR="0012665D" w:rsidRPr="008C122E" w:rsidRDefault="00DD7A76" w:rsidP="005F3509">
      <w:pPr>
        <w:jc w:val="center"/>
        <w:rPr>
          <w:sz w:val="22"/>
          <w:szCs w:val="22"/>
          <w:lang w:val="en-GB"/>
        </w:rPr>
      </w:pPr>
      <w:r>
        <w:rPr>
          <w:b/>
          <w:sz w:val="22"/>
          <w:u w:val="single"/>
        </w:rPr>
        <w:t>Помощи за обучение</w:t>
      </w:r>
    </w:p>
    <w:p w:rsidR="007D461F" w:rsidRPr="005F39D6" w:rsidRDefault="007D461F" w:rsidP="00126864">
      <w:pPr>
        <w:rPr>
          <w:sz w:val="22"/>
          <w:szCs w:val="22"/>
        </w:rPr>
      </w:pPr>
      <w:r>
        <w:rPr>
          <w:sz w:val="22"/>
        </w:rPr>
        <w:t xml:space="preserve">Най-напред следва да бъдат проверени общите условия за прилагането на ОРГО (12 условия/членове 1—12), а след това И условията по отношение на помощите за обучение. </w:t>
      </w:r>
    </w:p>
    <w:p w:rsidR="007D461F" w:rsidRPr="00A63647" w:rsidRDefault="007D461F" w:rsidP="00EE3936">
      <w:pPr>
        <w:rPr>
          <w:sz w:val="18"/>
          <w:szCs w:val="18"/>
        </w:rPr>
      </w:pPr>
    </w:p>
    <w:p w:rsidR="007D461F" w:rsidRPr="005F39D6" w:rsidRDefault="007D461F" w:rsidP="00EE3936">
      <w:pPr>
        <w:jc w:val="center"/>
        <w:rPr>
          <w:b/>
          <w:sz w:val="22"/>
          <w:szCs w:val="22"/>
          <w:u w:val="single"/>
        </w:rPr>
      </w:pPr>
      <w:r>
        <w:rPr>
          <w:b/>
          <w:sz w:val="22"/>
          <w:u w:val="single"/>
        </w:rPr>
        <w:t>А. Общи условия за прилагане</w:t>
      </w:r>
    </w:p>
    <w:p w:rsidR="007D461F" w:rsidRPr="00A63647" w:rsidRDefault="007D461F" w:rsidP="00230B60">
      <w:pPr>
        <w:ind w:left="-360" w:right="-134"/>
        <w:jc w:val="both"/>
        <w:rPr>
          <w:sz w:val="16"/>
          <w:szCs w:val="16"/>
        </w:rPr>
      </w:pPr>
    </w:p>
    <w:p w:rsidR="007D461F" w:rsidRPr="00A63647" w:rsidRDefault="007D461F" w:rsidP="00230B60">
      <w:pPr>
        <w:rPr>
          <w:sz w:val="16"/>
          <w:szCs w:val="16"/>
        </w:rPr>
      </w:pPr>
    </w:p>
    <w:tbl>
      <w:tblPr>
        <w:tblW w:w="14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3"/>
        <w:gridCol w:w="6379"/>
      </w:tblGrid>
      <w:tr w:rsidR="000E10AB" w:rsidRPr="005F39D6" w:rsidTr="00895393">
        <w:trPr>
          <w:trHeight w:val="145"/>
        </w:trPr>
        <w:tc>
          <w:tcPr>
            <w:tcW w:w="8233" w:type="dxa"/>
            <w:tcBorders>
              <w:bottom w:val="single" w:sz="4" w:space="0" w:color="auto"/>
            </w:tcBorders>
            <w:shd w:val="clear" w:color="auto" w:fill="333399"/>
          </w:tcPr>
          <w:p w:rsidR="000E10AB" w:rsidRPr="005F39D6" w:rsidRDefault="00593387" w:rsidP="005F39D6">
            <w:pPr>
              <w:tabs>
                <w:tab w:val="center" w:pos="3549"/>
              </w:tabs>
              <w:ind w:left="360"/>
              <w:rPr>
                <w:b/>
                <w:smallCaps/>
                <w:color w:val="FFFFFF"/>
                <w:sz w:val="22"/>
                <w:szCs w:val="22"/>
              </w:rPr>
            </w:pPr>
            <w:r>
              <w:tab/>
            </w:r>
            <w:r>
              <w:rPr>
                <w:b/>
                <w:smallCaps/>
                <w:color w:val="FFFFFF"/>
                <w:sz w:val="22"/>
              </w:rPr>
              <w:t>Общи условия за съвместимост</w:t>
            </w:r>
          </w:p>
        </w:tc>
        <w:tc>
          <w:tcPr>
            <w:tcW w:w="6379" w:type="dxa"/>
            <w:shd w:val="clear" w:color="auto" w:fill="333399"/>
          </w:tcPr>
          <w:p w:rsidR="000E10AB" w:rsidRPr="005F39D6" w:rsidRDefault="000E10AB" w:rsidP="005F39D6">
            <w:pPr>
              <w:jc w:val="center"/>
              <w:rPr>
                <w:b/>
                <w:smallCaps/>
                <w:color w:val="FFFFFF"/>
                <w:sz w:val="22"/>
                <w:szCs w:val="22"/>
              </w:rPr>
            </w:pPr>
            <w:r>
              <w:rPr>
                <w:b/>
                <w:smallCaps/>
                <w:color w:val="FFFFFF"/>
                <w:sz w:val="22"/>
              </w:rPr>
              <w:t>Проверка на съответствието (OK?)</w:t>
            </w:r>
          </w:p>
        </w:tc>
      </w:tr>
      <w:tr w:rsidR="000E10AB" w:rsidRPr="005F39D6" w:rsidTr="00895393">
        <w:trPr>
          <w:trHeight w:val="145"/>
        </w:trPr>
        <w:tc>
          <w:tcPr>
            <w:tcW w:w="8233" w:type="dxa"/>
            <w:shd w:val="clear" w:color="auto" w:fill="D9D9D9"/>
          </w:tcPr>
          <w:p w:rsidR="000E10AB" w:rsidRPr="005F39D6" w:rsidRDefault="000E10AB" w:rsidP="005F3509">
            <w:pPr>
              <w:rPr>
                <w:b/>
                <w:sz w:val="22"/>
                <w:szCs w:val="22"/>
              </w:rPr>
            </w:pPr>
            <w:r>
              <w:rPr>
                <w:b/>
                <w:sz w:val="22"/>
              </w:rPr>
              <w:t>Член 1 — Изключване на някои дейности (параграф 2)</w:t>
            </w:r>
          </w:p>
        </w:tc>
        <w:tc>
          <w:tcPr>
            <w:tcW w:w="6379" w:type="dxa"/>
            <w:vMerge w:val="restart"/>
            <w:shd w:val="clear" w:color="auto" w:fill="auto"/>
          </w:tcPr>
          <w:p w:rsidR="000E10AB" w:rsidRPr="005F39D6" w:rsidRDefault="000E10AB" w:rsidP="005F3509">
            <w:pPr>
              <w:rPr>
                <w:sz w:val="22"/>
                <w:szCs w:val="22"/>
              </w:rPr>
            </w:pPr>
          </w:p>
        </w:tc>
      </w:tr>
      <w:tr w:rsidR="000E10AB" w:rsidRPr="005F39D6" w:rsidTr="00895393">
        <w:trPr>
          <w:trHeight w:val="145"/>
        </w:trPr>
        <w:tc>
          <w:tcPr>
            <w:tcW w:w="8233" w:type="dxa"/>
            <w:tcBorders>
              <w:bottom w:val="single" w:sz="4" w:space="0" w:color="auto"/>
            </w:tcBorders>
            <w:shd w:val="clear" w:color="auto" w:fill="auto"/>
          </w:tcPr>
          <w:p w:rsidR="000E10AB" w:rsidRPr="005F39D6" w:rsidRDefault="000E10AB" w:rsidP="005F3509">
            <w:pPr>
              <w:jc w:val="both"/>
              <w:rPr>
                <w:sz w:val="22"/>
                <w:szCs w:val="22"/>
              </w:rPr>
            </w:pPr>
            <w:r>
              <w:rPr>
                <w:b/>
                <w:sz w:val="22"/>
                <w:u w:val="single"/>
              </w:rPr>
              <w:t>Не</w:t>
            </w:r>
            <w:r>
              <w:rPr>
                <w:sz w:val="22"/>
              </w:rPr>
              <w:t xml:space="preserve"> се прилага за:</w:t>
            </w:r>
          </w:p>
          <w:p w:rsidR="000E10AB" w:rsidRPr="005F39D6" w:rsidRDefault="000E10AB" w:rsidP="005F3509">
            <w:pPr>
              <w:numPr>
                <w:ilvl w:val="0"/>
                <w:numId w:val="1"/>
              </w:numPr>
              <w:tabs>
                <w:tab w:val="clear" w:pos="720"/>
                <w:tab w:val="num" w:pos="328"/>
              </w:tabs>
              <w:ind w:left="328" w:hanging="283"/>
              <w:jc w:val="both"/>
              <w:rPr>
                <w:sz w:val="22"/>
                <w:szCs w:val="22"/>
              </w:rPr>
            </w:pPr>
            <w:r>
              <w:rPr>
                <w:sz w:val="22"/>
              </w:rPr>
              <w:t xml:space="preserve">помощи за дейности, свързани с износ; </w:t>
            </w:r>
          </w:p>
          <w:p w:rsidR="000E10AB" w:rsidRPr="00A63647" w:rsidRDefault="000E10AB" w:rsidP="005F3509">
            <w:pPr>
              <w:numPr>
                <w:ilvl w:val="0"/>
                <w:numId w:val="1"/>
              </w:numPr>
              <w:tabs>
                <w:tab w:val="clear" w:pos="720"/>
                <w:tab w:val="num" w:pos="328"/>
              </w:tabs>
              <w:ind w:left="328" w:hanging="283"/>
              <w:jc w:val="both"/>
              <w:rPr>
                <w:spacing w:val="-4"/>
                <w:sz w:val="22"/>
                <w:szCs w:val="22"/>
              </w:rPr>
            </w:pPr>
            <w:r w:rsidRPr="00A63647">
              <w:rPr>
                <w:spacing w:val="-4"/>
                <w:sz w:val="22"/>
              </w:rPr>
              <w:t>помощи, обвързани с условието за използване на местни за сметка на вносни стоки.</w:t>
            </w:r>
          </w:p>
        </w:tc>
        <w:tc>
          <w:tcPr>
            <w:tcW w:w="6379" w:type="dxa"/>
            <w:vMerge/>
            <w:shd w:val="clear" w:color="auto" w:fill="auto"/>
          </w:tcPr>
          <w:p w:rsidR="000E10AB" w:rsidRPr="005F39D6" w:rsidRDefault="000E10AB" w:rsidP="005F39D6">
            <w:pPr>
              <w:rPr>
                <w:sz w:val="22"/>
                <w:szCs w:val="22"/>
              </w:rPr>
            </w:pPr>
          </w:p>
        </w:tc>
      </w:tr>
      <w:tr w:rsidR="000E10AB" w:rsidRPr="005F39D6" w:rsidTr="00895393">
        <w:trPr>
          <w:trHeight w:val="145"/>
        </w:trPr>
        <w:tc>
          <w:tcPr>
            <w:tcW w:w="8233" w:type="dxa"/>
            <w:shd w:val="clear" w:color="auto" w:fill="D9D9D9"/>
          </w:tcPr>
          <w:p w:rsidR="000E10AB" w:rsidRPr="005F39D6" w:rsidRDefault="000E10AB" w:rsidP="005F3509">
            <w:pPr>
              <w:jc w:val="both"/>
              <w:rPr>
                <w:b/>
                <w:sz w:val="22"/>
                <w:szCs w:val="22"/>
              </w:rPr>
            </w:pPr>
            <w:r>
              <w:rPr>
                <w:b/>
                <w:sz w:val="22"/>
              </w:rPr>
              <w:t>Член 1 — Изключване на някои сектори (параграф 3)</w:t>
            </w:r>
          </w:p>
        </w:tc>
        <w:tc>
          <w:tcPr>
            <w:tcW w:w="6379" w:type="dxa"/>
            <w:vMerge w:val="restart"/>
            <w:shd w:val="clear" w:color="auto" w:fill="auto"/>
          </w:tcPr>
          <w:p w:rsidR="000E10AB" w:rsidRPr="005F39D6" w:rsidRDefault="000E10AB" w:rsidP="005F3509">
            <w:pPr>
              <w:rPr>
                <w:sz w:val="22"/>
                <w:szCs w:val="22"/>
              </w:rPr>
            </w:pPr>
          </w:p>
        </w:tc>
      </w:tr>
      <w:tr w:rsidR="000E10AB" w:rsidRPr="005F39D6" w:rsidTr="00895393">
        <w:trPr>
          <w:trHeight w:val="145"/>
        </w:trPr>
        <w:tc>
          <w:tcPr>
            <w:tcW w:w="8233" w:type="dxa"/>
            <w:tcBorders>
              <w:bottom w:val="single" w:sz="4" w:space="0" w:color="auto"/>
            </w:tcBorders>
            <w:shd w:val="clear" w:color="auto" w:fill="auto"/>
          </w:tcPr>
          <w:p w:rsidR="00811AB1" w:rsidRPr="005F39D6" w:rsidRDefault="00811AB1" w:rsidP="005F3509">
            <w:pPr>
              <w:numPr>
                <w:ilvl w:val="0"/>
                <w:numId w:val="2"/>
              </w:numPr>
              <w:tabs>
                <w:tab w:val="clear" w:pos="720"/>
                <w:tab w:val="num" w:pos="328"/>
              </w:tabs>
              <w:ind w:left="328" w:hanging="283"/>
              <w:jc w:val="both"/>
              <w:rPr>
                <w:color w:val="FF0000"/>
                <w:sz w:val="22"/>
                <w:szCs w:val="22"/>
              </w:rPr>
            </w:pPr>
            <w:r>
              <w:rPr>
                <w:sz w:val="22"/>
              </w:rPr>
              <w:t xml:space="preserve">Риболов и аквакултури* (съгласно Регламент (ЕС) № 1379/2013), </w:t>
            </w:r>
            <w:r>
              <w:rPr>
                <w:color w:val="FF0000"/>
                <w:sz w:val="22"/>
              </w:rPr>
              <w:t xml:space="preserve">с изключение на помощите за обучение; </w:t>
            </w:r>
          </w:p>
          <w:p w:rsidR="00811AB1" w:rsidRPr="005F39D6" w:rsidRDefault="00811AB1" w:rsidP="005F3509">
            <w:pPr>
              <w:numPr>
                <w:ilvl w:val="0"/>
                <w:numId w:val="2"/>
              </w:numPr>
              <w:tabs>
                <w:tab w:val="clear" w:pos="720"/>
                <w:tab w:val="num" w:pos="328"/>
              </w:tabs>
              <w:ind w:left="328" w:hanging="283"/>
              <w:rPr>
                <w:sz w:val="22"/>
                <w:szCs w:val="22"/>
              </w:rPr>
            </w:pPr>
            <w:r>
              <w:rPr>
                <w:sz w:val="22"/>
              </w:rPr>
              <w:t xml:space="preserve">Първично производство на селскостопански продукти*, </w:t>
            </w:r>
            <w:r>
              <w:rPr>
                <w:color w:val="FF0000"/>
                <w:sz w:val="22"/>
              </w:rPr>
              <w:t xml:space="preserve">с изключение на помощите за обучение; </w:t>
            </w:r>
          </w:p>
          <w:p w:rsidR="00811AB1" w:rsidRPr="005F39D6" w:rsidRDefault="00811AB1" w:rsidP="00126864">
            <w:pPr>
              <w:numPr>
                <w:ilvl w:val="0"/>
                <w:numId w:val="2"/>
              </w:numPr>
              <w:tabs>
                <w:tab w:val="clear" w:pos="720"/>
                <w:tab w:val="num" w:pos="328"/>
              </w:tabs>
              <w:autoSpaceDE w:val="0"/>
              <w:autoSpaceDN w:val="0"/>
              <w:adjustRightInd w:val="0"/>
              <w:ind w:left="328" w:hanging="283"/>
              <w:jc w:val="both"/>
              <w:rPr>
                <w:color w:val="FF0000"/>
                <w:sz w:val="22"/>
                <w:szCs w:val="22"/>
              </w:rPr>
            </w:pPr>
            <w:r>
              <w:rPr>
                <w:sz w:val="22"/>
              </w:rPr>
              <w:t xml:space="preserve">Преработка и продажба на селскостопански продукти*, </w:t>
            </w:r>
            <w:r>
              <w:rPr>
                <w:color w:val="FF0000"/>
                <w:sz w:val="22"/>
              </w:rPr>
              <w:t>ако размерът на помощта е определен въз основа на цената или количеството на такива продукти, закупени от първични производители или предлагани на пазара от съответните предприятия; или когато помощта е обвързана със задължението да бъде прехвърлена частично или изцяло на първичните производители;</w:t>
            </w:r>
          </w:p>
          <w:p w:rsidR="00811AB1" w:rsidRPr="005F39D6" w:rsidRDefault="00811AB1" w:rsidP="00EE3936">
            <w:pPr>
              <w:numPr>
                <w:ilvl w:val="0"/>
                <w:numId w:val="2"/>
              </w:numPr>
              <w:tabs>
                <w:tab w:val="clear" w:pos="720"/>
                <w:tab w:val="num" w:pos="328"/>
              </w:tabs>
              <w:ind w:left="328" w:hanging="283"/>
              <w:jc w:val="both"/>
              <w:rPr>
                <w:sz w:val="22"/>
                <w:szCs w:val="22"/>
              </w:rPr>
            </w:pPr>
            <w:r>
              <w:rPr>
                <w:sz w:val="22"/>
              </w:rPr>
              <w:t>Помощи за улесняване на закриването на неконкурентоспособни въглищни мини (Решение 2010/787/ЕС на Съвета);</w:t>
            </w:r>
          </w:p>
          <w:p w:rsidR="000E10AB" w:rsidRPr="005F39D6" w:rsidRDefault="00811AB1" w:rsidP="00EE3936">
            <w:pPr>
              <w:tabs>
                <w:tab w:val="num" w:pos="328"/>
              </w:tabs>
              <w:ind w:left="328"/>
              <w:jc w:val="both"/>
              <w:rPr>
                <w:sz w:val="22"/>
                <w:szCs w:val="22"/>
              </w:rPr>
            </w:pPr>
            <w:r>
              <w:rPr>
                <w:sz w:val="22"/>
              </w:rPr>
              <w:t xml:space="preserve">* </w:t>
            </w:r>
            <w:r>
              <w:rPr>
                <w:i/>
                <w:sz w:val="22"/>
              </w:rPr>
              <w:t>Ако предприятието упражнява също дейност в сектори, които попадат в приложното поле на настоящия регламент, той се прилага за помощите, предоставени в тези сектори, при условие че съответната държава членка гарантира, че дейностите в изключените сектори не се ползват от помощта.</w:t>
            </w:r>
          </w:p>
        </w:tc>
        <w:tc>
          <w:tcPr>
            <w:tcW w:w="6379" w:type="dxa"/>
            <w:vMerge/>
            <w:shd w:val="clear" w:color="auto" w:fill="auto"/>
          </w:tcPr>
          <w:p w:rsidR="000E10AB" w:rsidRPr="005F39D6" w:rsidRDefault="000E10AB" w:rsidP="005F39D6">
            <w:pPr>
              <w:rPr>
                <w:sz w:val="22"/>
                <w:szCs w:val="22"/>
              </w:rPr>
            </w:pPr>
          </w:p>
        </w:tc>
      </w:tr>
      <w:tr w:rsidR="000E10AB" w:rsidRPr="005F39D6" w:rsidTr="00895393">
        <w:trPr>
          <w:trHeight w:val="145"/>
        </w:trPr>
        <w:tc>
          <w:tcPr>
            <w:tcW w:w="8233" w:type="dxa"/>
            <w:shd w:val="clear" w:color="auto" w:fill="D9D9D9"/>
          </w:tcPr>
          <w:p w:rsidR="000E10AB" w:rsidRPr="005F39D6" w:rsidRDefault="000E10AB" w:rsidP="005F3509">
            <w:pPr>
              <w:jc w:val="both"/>
              <w:rPr>
                <w:b/>
                <w:sz w:val="22"/>
                <w:szCs w:val="22"/>
              </w:rPr>
            </w:pPr>
            <w:r>
              <w:rPr>
                <w:b/>
                <w:sz w:val="22"/>
              </w:rPr>
              <w:t>Член 1 — Изключване на дружествата, засегнати от правилото Deggendorf (параграф 4)</w:t>
            </w:r>
          </w:p>
        </w:tc>
        <w:tc>
          <w:tcPr>
            <w:tcW w:w="6379" w:type="dxa"/>
            <w:vMerge w:val="restart"/>
            <w:shd w:val="clear" w:color="auto" w:fill="auto"/>
          </w:tcPr>
          <w:p w:rsidR="000E10AB" w:rsidRPr="005F39D6" w:rsidRDefault="000E10AB" w:rsidP="005F3509">
            <w:pPr>
              <w:rPr>
                <w:sz w:val="22"/>
                <w:szCs w:val="22"/>
              </w:rPr>
            </w:pPr>
          </w:p>
        </w:tc>
      </w:tr>
      <w:tr w:rsidR="000E10AB" w:rsidRPr="005F39D6" w:rsidTr="00895393">
        <w:trPr>
          <w:trHeight w:val="145"/>
        </w:trPr>
        <w:tc>
          <w:tcPr>
            <w:tcW w:w="8233" w:type="dxa"/>
            <w:tcBorders>
              <w:bottom w:val="single" w:sz="4" w:space="0" w:color="auto"/>
            </w:tcBorders>
            <w:shd w:val="clear" w:color="auto" w:fill="auto"/>
          </w:tcPr>
          <w:p w:rsidR="000E10AB" w:rsidRPr="005F39D6" w:rsidRDefault="000E10AB" w:rsidP="00E12A87">
            <w:pPr>
              <w:jc w:val="both"/>
              <w:rPr>
                <w:sz w:val="22"/>
                <w:szCs w:val="22"/>
              </w:rPr>
            </w:pPr>
            <w:r>
              <w:rPr>
                <w:b/>
                <w:sz w:val="22"/>
                <w:u w:val="single"/>
              </w:rPr>
              <w:t>Не</w:t>
            </w:r>
            <w:r>
              <w:rPr>
                <w:sz w:val="22"/>
              </w:rPr>
              <w:t xml:space="preserve"> се прилага по отношение на схеми за помощ, които не изключват изрично </w:t>
            </w:r>
            <w:r>
              <w:rPr>
                <w:sz w:val="22"/>
              </w:rPr>
              <w:lastRenderedPageBreak/>
              <w:t xml:space="preserve">плащането на индивидуална помощ в полза на предприятие, което е обект на неизпълнено разпореждане за възстановяване вследствие на предходно решение на Комисията, с което помощта се обявява за неправомерна/несъвместима, и </w:t>
            </w:r>
            <w:r>
              <w:rPr>
                <w:b/>
                <w:sz w:val="22"/>
              </w:rPr>
              <w:t>не</w:t>
            </w:r>
            <w:r>
              <w:rPr>
                <w:sz w:val="22"/>
              </w:rPr>
              <w:t xml:space="preserve"> се прилага по отношение на </w:t>
            </w:r>
            <w:r>
              <w:rPr>
                <w:i/>
                <w:sz w:val="22"/>
              </w:rPr>
              <w:t>ad hoc</w:t>
            </w:r>
            <w:r>
              <w:rPr>
                <w:sz w:val="22"/>
              </w:rPr>
              <w:t xml:space="preserve"> помощи в полза на такива предприятия. </w:t>
            </w:r>
          </w:p>
        </w:tc>
        <w:tc>
          <w:tcPr>
            <w:tcW w:w="6379" w:type="dxa"/>
            <w:vMerge/>
            <w:shd w:val="clear" w:color="auto" w:fill="auto"/>
          </w:tcPr>
          <w:p w:rsidR="000E10AB" w:rsidRPr="005F39D6" w:rsidRDefault="000E10AB" w:rsidP="005F39D6">
            <w:pPr>
              <w:rPr>
                <w:sz w:val="22"/>
                <w:szCs w:val="22"/>
              </w:rPr>
            </w:pPr>
          </w:p>
        </w:tc>
      </w:tr>
      <w:tr w:rsidR="000E10AB" w:rsidRPr="005F39D6" w:rsidTr="00895393">
        <w:trPr>
          <w:trHeight w:val="145"/>
        </w:trPr>
        <w:tc>
          <w:tcPr>
            <w:tcW w:w="8233" w:type="dxa"/>
            <w:shd w:val="clear" w:color="auto" w:fill="D9D9D9"/>
          </w:tcPr>
          <w:p w:rsidR="000E10AB" w:rsidRPr="005F39D6" w:rsidRDefault="000E10AB" w:rsidP="005F3509">
            <w:pPr>
              <w:rPr>
                <w:b/>
                <w:sz w:val="22"/>
                <w:szCs w:val="22"/>
              </w:rPr>
            </w:pPr>
            <w:r>
              <w:rPr>
                <w:b/>
                <w:sz w:val="22"/>
              </w:rPr>
              <w:lastRenderedPageBreak/>
              <w:t>Член 1 — Изключване на дружествата в затруднено положение (параграф 4)</w:t>
            </w:r>
          </w:p>
        </w:tc>
        <w:tc>
          <w:tcPr>
            <w:tcW w:w="6379" w:type="dxa"/>
            <w:vMerge w:val="restart"/>
            <w:shd w:val="clear" w:color="auto" w:fill="auto"/>
          </w:tcPr>
          <w:p w:rsidR="000E10AB" w:rsidRPr="005F39D6" w:rsidRDefault="000E10AB" w:rsidP="005F3509">
            <w:pPr>
              <w:rPr>
                <w:sz w:val="22"/>
                <w:szCs w:val="22"/>
              </w:rPr>
            </w:pPr>
          </w:p>
        </w:tc>
      </w:tr>
      <w:tr w:rsidR="000E10AB" w:rsidRPr="005F39D6" w:rsidTr="005F39D6">
        <w:trPr>
          <w:trHeight w:val="489"/>
        </w:trPr>
        <w:tc>
          <w:tcPr>
            <w:tcW w:w="8233" w:type="dxa"/>
            <w:tcBorders>
              <w:bottom w:val="single" w:sz="4" w:space="0" w:color="auto"/>
            </w:tcBorders>
            <w:shd w:val="clear" w:color="auto" w:fill="auto"/>
          </w:tcPr>
          <w:p w:rsidR="000E10AB" w:rsidRPr="005F39D6" w:rsidRDefault="000E10AB" w:rsidP="00CB1665">
            <w:pPr>
              <w:jc w:val="both"/>
              <w:rPr>
                <w:sz w:val="22"/>
                <w:szCs w:val="22"/>
              </w:rPr>
            </w:pPr>
            <w:r>
              <w:rPr>
                <w:b/>
                <w:sz w:val="22"/>
                <w:u w:val="single"/>
              </w:rPr>
              <w:t>Не</w:t>
            </w:r>
            <w:r>
              <w:rPr>
                <w:sz w:val="22"/>
              </w:rPr>
              <w:t xml:space="preserve"> се прилага за помощи за предприятия в затруднено положение. </w:t>
            </w:r>
          </w:p>
        </w:tc>
        <w:tc>
          <w:tcPr>
            <w:tcW w:w="6379" w:type="dxa"/>
            <w:vMerge/>
            <w:shd w:val="clear" w:color="auto" w:fill="auto"/>
          </w:tcPr>
          <w:p w:rsidR="000E10AB" w:rsidRPr="005F39D6" w:rsidRDefault="000E10AB" w:rsidP="005F39D6">
            <w:pPr>
              <w:rPr>
                <w:sz w:val="22"/>
                <w:szCs w:val="22"/>
              </w:rPr>
            </w:pPr>
          </w:p>
        </w:tc>
      </w:tr>
      <w:tr w:rsidR="000E10AB" w:rsidRPr="005F39D6" w:rsidTr="00895393">
        <w:trPr>
          <w:trHeight w:val="145"/>
        </w:trPr>
        <w:tc>
          <w:tcPr>
            <w:tcW w:w="8233" w:type="dxa"/>
            <w:shd w:val="clear" w:color="auto" w:fill="D9D9D9"/>
          </w:tcPr>
          <w:p w:rsidR="000E10AB" w:rsidRPr="005F39D6" w:rsidRDefault="000E10AB" w:rsidP="00997AA0">
            <w:pPr>
              <w:jc w:val="both"/>
              <w:rPr>
                <w:b/>
                <w:sz w:val="22"/>
                <w:szCs w:val="22"/>
              </w:rPr>
            </w:pPr>
            <w:r>
              <w:rPr>
                <w:b/>
                <w:sz w:val="22"/>
              </w:rPr>
              <w:t>Член 1 — Изключване на мерките за помощ, които нарушават законодателството на Съюза (параграф 5)</w:t>
            </w:r>
          </w:p>
        </w:tc>
        <w:tc>
          <w:tcPr>
            <w:tcW w:w="6379" w:type="dxa"/>
            <w:vMerge w:val="restart"/>
            <w:shd w:val="clear" w:color="auto" w:fill="auto"/>
          </w:tcPr>
          <w:p w:rsidR="000E10AB" w:rsidRPr="005F39D6" w:rsidRDefault="000E10AB" w:rsidP="005F3509">
            <w:pPr>
              <w:rPr>
                <w:sz w:val="22"/>
                <w:szCs w:val="22"/>
              </w:rPr>
            </w:pPr>
          </w:p>
        </w:tc>
      </w:tr>
      <w:tr w:rsidR="000E10AB" w:rsidRPr="005F39D6" w:rsidTr="00895393">
        <w:trPr>
          <w:trHeight w:val="145"/>
        </w:trPr>
        <w:tc>
          <w:tcPr>
            <w:tcW w:w="8233" w:type="dxa"/>
            <w:tcBorders>
              <w:bottom w:val="single" w:sz="4" w:space="0" w:color="auto"/>
            </w:tcBorders>
            <w:shd w:val="clear" w:color="auto" w:fill="auto"/>
          </w:tcPr>
          <w:p w:rsidR="000E10AB" w:rsidRPr="005F39D6" w:rsidRDefault="00AA6EED" w:rsidP="005F39D6">
            <w:pPr>
              <w:autoSpaceDE w:val="0"/>
              <w:autoSpaceDN w:val="0"/>
              <w:adjustRightInd w:val="0"/>
              <w:rPr>
                <w:rFonts w:ascii="EUAlbertina-Regu" w:hAnsi="EUAlbertina-Regu" w:cs="EUAlbertina-Regu"/>
                <w:sz w:val="22"/>
                <w:szCs w:val="22"/>
              </w:rPr>
            </w:pPr>
            <w:r>
              <w:rPr>
                <w:b/>
                <w:sz w:val="22"/>
              </w:rPr>
              <w:t>Не</w:t>
            </w:r>
            <w:r>
              <w:rPr>
                <w:sz w:val="22"/>
              </w:rPr>
              <w:t xml:space="preserve"> се прилага за мерки за държавна помощ, които водят до неотделимо нарушение на законодателството на Съюза, по-специално:</w:t>
            </w:r>
          </w:p>
          <w:p w:rsidR="000E10AB" w:rsidRPr="005F39D6" w:rsidRDefault="000E10AB" w:rsidP="005F39D6">
            <w:pPr>
              <w:autoSpaceDE w:val="0"/>
              <w:autoSpaceDN w:val="0"/>
              <w:adjustRightInd w:val="0"/>
              <w:jc w:val="both"/>
              <w:rPr>
                <w:sz w:val="22"/>
                <w:szCs w:val="22"/>
              </w:rPr>
            </w:pPr>
            <w:r>
              <w:t>а) задължение седалището или основното място на установяване на бенефициера да се намира в съответната държава членка.</w:t>
            </w:r>
            <w:r>
              <w:rPr>
                <w:sz w:val="22"/>
              </w:rPr>
              <w:t xml:space="preserve"> Разрешава се условието към момента на изплащането на помощта бенефициерът да е създал седалище или клон в държавата членка, предоставяща помощта;</w:t>
            </w:r>
          </w:p>
          <w:p w:rsidR="000E10AB" w:rsidRPr="005F39D6" w:rsidRDefault="000E10AB" w:rsidP="005F39D6">
            <w:pPr>
              <w:autoSpaceDE w:val="0"/>
              <w:autoSpaceDN w:val="0"/>
              <w:adjustRightInd w:val="0"/>
              <w:jc w:val="both"/>
              <w:rPr>
                <w:sz w:val="22"/>
                <w:szCs w:val="22"/>
              </w:rPr>
            </w:pPr>
            <w:r>
              <w:rPr>
                <w:sz w:val="22"/>
              </w:rPr>
              <w:t>б) задължение бенефициерът да използва стоки и услуги, произведени на територията на държавата членка;</w:t>
            </w:r>
          </w:p>
          <w:p w:rsidR="000E10AB" w:rsidRPr="005F39D6" w:rsidRDefault="000E10AB" w:rsidP="005F39D6">
            <w:pPr>
              <w:autoSpaceDE w:val="0"/>
              <w:autoSpaceDN w:val="0"/>
              <w:adjustRightInd w:val="0"/>
              <w:jc w:val="both"/>
              <w:rPr>
                <w:sz w:val="22"/>
                <w:szCs w:val="22"/>
              </w:rPr>
            </w:pPr>
            <w:r>
              <w:rPr>
                <w:sz w:val="22"/>
              </w:rPr>
              <w:t>в) ограничаване на възможността бенефициерът да се възползва от резултатите от научноизследователска и развойна дейност и иновации в други държави членки.</w:t>
            </w:r>
          </w:p>
        </w:tc>
        <w:tc>
          <w:tcPr>
            <w:tcW w:w="6379" w:type="dxa"/>
            <w:vMerge/>
            <w:shd w:val="clear" w:color="auto" w:fill="auto"/>
          </w:tcPr>
          <w:p w:rsidR="000E10AB" w:rsidRPr="005F39D6" w:rsidRDefault="000E10AB" w:rsidP="005F39D6">
            <w:pPr>
              <w:rPr>
                <w:sz w:val="22"/>
                <w:szCs w:val="22"/>
              </w:rPr>
            </w:pPr>
          </w:p>
        </w:tc>
      </w:tr>
      <w:tr w:rsidR="000E10AB" w:rsidRPr="005F39D6" w:rsidTr="002D00A7">
        <w:trPr>
          <w:trHeight w:val="271"/>
        </w:trPr>
        <w:tc>
          <w:tcPr>
            <w:tcW w:w="8233" w:type="dxa"/>
            <w:shd w:val="clear" w:color="auto" w:fill="D9D9D9"/>
          </w:tcPr>
          <w:p w:rsidR="000E10AB" w:rsidRPr="005F39D6" w:rsidRDefault="000E10AB" w:rsidP="005F3509">
            <w:pPr>
              <w:jc w:val="both"/>
              <w:rPr>
                <w:b/>
                <w:sz w:val="22"/>
                <w:szCs w:val="22"/>
              </w:rPr>
            </w:pPr>
            <w:r>
              <w:rPr>
                <w:b/>
                <w:sz w:val="22"/>
              </w:rPr>
              <w:t>Член 4 — Индивидуални прагове за уведомяване</w:t>
            </w:r>
          </w:p>
        </w:tc>
        <w:tc>
          <w:tcPr>
            <w:tcW w:w="6379" w:type="dxa"/>
            <w:shd w:val="clear" w:color="auto" w:fill="D9D9D9"/>
          </w:tcPr>
          <w:p w:rsidR="000E10AB" w:rsidRPr="005F39D6" w:rsidRDefault="000E10AB" w:rsidP="005F3509">
            <w:pPr>
              <w:rPr>
                <w:sz w:val="22"/>
                <w:szCs w:val="22"/>
              </w:rPr>
            </w:pPr>
          </w:p>
        </w:tc>
      </w:tr>
      <w:tr w:rsidR="000E10AB" w:rsidRPr="005F39D6" w:rsidTr="00895393">
        <w:trPr>
          <w:trHeight w:val="271"/>
        </w:trPr>
        <w:tc>
          <w:tcPr>
            <w:tcW w:w="8233" w:type="dxa"/>
            <w:tcBorders>
              <w:bottom w:val="single" w:sz="4" w:space="0" w:color="auto"/>
            </w:tcBorders>
            <w:shd w:val="clear" w:color="auto" w:fill="auto"/>
          </w:tcPr>
          <w:p w:rsidR="000E10AB" w:rsidRPr="005F39D6" w:rsidRDefault="000E10AB" w:rsidP="005F3509">
            <w:pPr>
              <w:rPr>
                <w:sz w:val="22"/>
                <w:szCs w:val="22"/>
              </w:rPr>
            </w:pPr>
            <w:r>
              <w:rPr>
                <w:b/>
                <w:sz w:val="22"/>
              </w:rPr>
              <w:t>Не</w:t>
            </w:r>
            <w:r>
              <w:rPr>
                <w:sz w:val="22"/>
              </w:rPr>
              <w:t xml:space="preserve"> се прилага за помощи, надхвърлящи:</w:t>
            </w:r>
          </w:p>
          <w:p w:rsidR="000E10AB" w:rsidRPr="005F39D6" w:rsidRDefault="00B94BD5" w:rsidP="00B27337">
            <w:pPr>
              <w:numPr>
                <w:ilvl w:val="0"/>
                <w:numId w:val="7"/>
              </w:numPr>
              <w:rPr>
                <w:sz w:val="22"/>
                <w:szCs w:val="22"/>
              </w:rPr>
            </w:pPr>
            <w:r>
              <w:rPr>
                <w:sz w:val="22"/>
              </w:rPr>
              <w:t>Обучение: 2 милиона евро на проект за обучение;</w:t>
            </w:r>
          </w:p>
          <w:p w:rsidR="00AA6EED" w:rsidRPr="005F39D6" w:rsidRDefault="00AA6EED" w:rsidP="00126864">
            <w:pPr>
              <w:rPr>
                <w:sz w:val="22"/>
                <w:szCs w:val="22"/>
              </w:rPr>
            </w:pPr>
            <w:r>
              <w:rPr>
                <w:sz w:val="22"/>
              </w:rPr>
              <w:t xml:space="preserve">Праговете </w:t>
            </w:r>
            <w:r>
              <w:rPr>
                <w:b/>
                <w:sz w:val="22"/>
              </w:rPr>
              <w:t>не</w:t>
            </w:r>
            <w:r>
              <w:rPr>
                <w:sz w:val="22"/>
              </w:rPr>
              <w:t xml:space="preserve"> могат да бъдат заобикаляни чрез изкуствено разделяне на схемите или проектите за помощ.</w:t>
            </w:r>
          </w:p>
        </w:tc>
        <w:tc>
          <w:tcPr>
            <w:tcW w:w="6379" w:type="dxa"/>
            <w:shd w:val="clear" w:color="auto" w:fill="auto"/>
          </w:tcPr>
          <w:p w:rsidR="000E10AB" w:rsidRPr="005F39D6" w:rsidRDefault="000E10AB" w:rsidP="00EE3936">
            <w:pPr>
              <w:rPr>
                <w:sz w:val="22"/>
                <w:szCs w:val="22"/>
              </w:rPr>
            </w:pPr>
          </w:p>
        </w:tc>
      </w:tr>
      <w:tr w:rsidR="000E10AB" w:rsidRPr="005F39D6" w:rsidTr="002D00A7">
        <w:trPr>
          <w:trHeight w:val="344"/>
        </w:trPr>
        <w:tc>
          <w:tcPr>
            <w:tcW w:w="8233" w:type="dxa"/>
            <w:shd w:val="clear" w:color="auto" w:fill="D9D9D9"/>
          </w:tcPr>
          <w:p w:rsidR="000E10AB" w:rsidRPr="005F39D6" w:rsidRDefault="000E10AB" w:rsidP="005F3509">
            <w:pPr>
              <w:jc w:val="both"/>
              <w:rPr>
                <w:b/>
                <w:sz w:val="22"/>
                <w:szCs w:val="22"/>
              </w:rPr>
            </w:pPr>
            <w:r>
              <w:rPr>
                <w:b/>
                <w:sz w:val="22"/>
              </w:rPr>
              <w:t xml:space="preserve">Член 5 — Прозрачност на помощта </w:t>
            </w:r>
          </w:p>
        </w:tc>
        <w:tc>
          <w:tcPr>
            <w:tcW w:w="6379" w:type="dxa"/>
            <w:shd w:val="clear" w:color="auto" w:fill="D9D9D9"/>
          </w:tcPr>
          <w:p w:rsidR="000E10AB" w:rsidRPr="005F39D6" w:rsidRDefault="000E10AB" w:rsidP="005F3509">
            <w:pPr>
              <w:rPr>
                <w:sz w:val="22"/>
                <w:szCs w:val="22"/>
              </w:rPr>
            </w:pPr>
          </w:p>
        </w:tc>
      </w:tr>
      <w:tr w:rsidR="000E10AB" w:rsidRPr="005F39D6" w:rsidTr="00895393">
        <w:trPr>
          <w:trHeight w:val="344"/>
        </w:trPr>
        <w:tc>
          <w:tcPr>
            <w:tcW w:w="8233" w:type="dxa"/>
            <w:shd w:val="clear" w:color="auto" w:fill="auto"/>
          </w:tcPr>
          <w:p w:rsidR="000E10AB" w:rsidRPr="005F39D6" w:rsidRDefault="000E10AB" w:rsidP="005F3509">
            <w:pPr>
              <w:jc w:val="both"/>
              <w:rPr>
                <w:sz w:val="22"/>
                <w:szCs w:val="22"/>
              </w:rPr>
            </w:pPr>
            <w:r>
              <w:rPr>
                <w:sz w:val="22"/>
              </w:rPr>
              <w:t>За прозрачни се считат:</w:t>
            </w:r>
          </w:p>
          <w:p w:rsidR="000E10AB" w:rsidRPr="005F39D6" w:rsidRDefault="000E10AB" w:rsidP="00B27337">
            <w:pPr>
              <w:numPr>
                <w:ilvl w:val="0"/>
                <w:numId w:val="5"/>
              </w:numPr>
              <w:tabs>
                <w:tab w:val="clear" w:pos="720"/>
                <w:tab w:val="num" w:pos="328"/>
              </w:tabs>
              <w:ind w:left="328" w:hanging="283"/>
              <w:jc w:val="both"/>
              <w:rPr>
                <w:sz w:val="22"/>
                <w:szCs w:val="22"/>
              </w:rPr>
            </w:pPr>
            <w:r>
              <w:rPr>
                <w:sz w:val="22"/>
              </w:rPr>
              <w:t>безвъзмездните средства и лихвените субсидии;</w:t>
            </w:r>
          </w:p>
          <w:p w:rsidR="000E10AB" w:rsidRPr="005F39D6" w:rsidRDefault="000E10AB" w:rsidP="00126864">
            <w:pPr>
              <w:numPr>
                <w:ilvl w:val="0"/>
                <w:numId w:val="3"/>
              </w:numPr>
              <w:tabs>
                <w:tab w:val="clear" w:pos="720"/>
                <w:tab w:val="num" w:pos="328"/>
              </w:tabs>
              <w:ind w:left="328" w:hanging="283"/>
              <w:jc w:val="both"/>
              <w:rPr>
                <w:sz w:val="22"/>
                <w:szCs w:val="22"/>
              </w:rPr>
            </w:pPr>
            <w:r>
              <w:rPr>
                <w:sz w:val="22"/>
              </w:rPr>
              <w:t>заемите (когато брутният еквивалент на безвъзмездна помощ е изчислен въз основа на референтния процент към момента на предоставяне на безвъзмездните средства);</w:t>
            </w:r>
          </w:p>
          <w:p w:rsidR="000E10AB" w:rsidRPr="005F39D6" w:rsidRDefault="000E10AB" w:rsidP="00EE3936">
            <w:pPr>
              <w:numPr>
                <w:ilvl w:val="0"/>
                <w:numId w:val="3"/>
              </w:numPr>
              <w:tabs>
                <w:tab w:val="clear" w:pos="720"/>
                <w:tab w:val="num" w:pos="328"/>
              </w:tabs>
              <w:ind w:left="328" w:hanging="283"/>
              <w:jc w:val="both"/>
              <w:rPr>
                <w:sz w:val="22"/>
                <w:szCs w:val="22"/>
              </w:rPr>
            </w:pPr>
            <w:r>
              <w:rPr>
                <w:sz w:val="22"/>
              </w:rPr>
              <w:t xml:space="preserve">гаранциите </w:t>
            </w:r>
          </w:p>
          <w:p w:rsidR="000E10AB" w:rsidRPr="005F39D6" w:rsidRDefault="000E10AB" w:rsidP="00EE3936">
            <w:pPr>
              <w:tabs>
                <w:tab w:val="num" w:pos="470"/>
              </w:tabs>
              <w:ind w:left="328"/>
              <w:jc w:val="both"/>
              <w:rPr>
                <w:sz w:val="22"/>
                <w:szCs w:val="22"/>
              </w:rPr>
            </w:pPr>
            <w:r>
              <w:rPr>
                <w:sz w:val="22"/>
              </w:rPr>
              <w:lastRenderedPageBreak/>
              <w:t xml:space="preserve">(когато брутният еквивалент на безвъзмездна помощ е изчислен въз основа на минималните премии, посочени в известие на Комисията, </w:t>
            </w:r>
          </w:p>
          <w:p w:rsidR="000E10AB" w:rsidRPr="005F39D6" w:rsidRDefault="000E10AB" w:rsidP="00230B60">
            <w:pPr>
              <w:tabs>
                <w:tab w:val="num" w:pos="328"/>
              </w:tabs>
              <w:ind w:left="328" w:hanging="283"/>
              <w:jc w:val="both"/>
              <w:rPr>
                <w:sz w:val="22"/>
                <w:szCs w:val="22"/>
              </w:rPr>
            </w:pPr>
            <w:r>
              <w:rPr>
                <w:sz w:val="22"/>
              </w:rPr>
              <w:t xml:space="preserve">или </w:t>
            </w:r>
          </w:p>
          <w:p w:rsidR="000E10AB" w:rsidRPr="005F39D6" w:rsidRDefault="000E10AB" w:rsidP="00230B60">
            <w:pPr>
              <w:tabs>
                <w:tab w:val="num" w:pos="328"/>
              </w:tabs>
              <w:ind w:left="328"/>
              <w:jc w:val="both"/>
              <w:rPr>
                <w:sz w:val="22"/>
                <w:szCs w:val="22"/>
              </w:rPr>
            </w:pPr>
            <w:r>
              <w:rPr>
                <w:sz w:val="22"/>
              </w:rPr>
              <w:t>когато брутният еквивалент на безвъзмездна помощ е одобрен, преди мярката да бъде въведена в действие, въз основа на Известието на Комисията относно гаранциите и в одобрената методика за изчисляването му изрично се обръща внимание на вида на гаранцията и на вида на сделката, за която гаранцията е издадена, в контекста на прилагането на ОРГО);</w:t>
            </w:r>
          </w:p>
          <w:p w:rsidR="000E10AB" w:rsidRPr="005F39D6" w:rsidRDefault="000E10AB" w:rsidP="005F39D6">
            <w:pPr>
              <w:numPr>
                <w:ilvl w:val="0"/>
                <w:numId w:val="3"/>
              </w:numPr>
              <w:tabs>
                <w:tab w:val="clear" w:pos="720"/>
                <w:tab w:val="num" w:pos="328"/>
              </w:tabs>
              <w:ind w:left="328" w:hanging="283"/>
              <w:jc w:val="both"/>
              <w:rPr>
                <w:sz w:val="22"/>
                <w:szCs w:val="22"/>
              </w:rPr>
            </w:pPr>
            <w:r>
              <w:rPr>
                <w:sz w:val="22"/>
              </w:rPr>
              <w:t>данъчните предимства (когато по мярката е предвиден таван, с който се гарантира, че прагът няма да бъде надхвърлен);</w:t>
            </w:r>
          </w:p>
          <w:p w:rsidR="000E10AB" w:rsidRPr="005F39D6" w:rsidRDefault="000E10AB" w:rsidP="005F39D6">
            <w:pPr>
              <w:numPr>
                <w:ilvl w:val="0"/>
                <w:numId w:val="3"/>
              </w:numPr>
              <w:tabs>
                <w:tab w:val="clear" w:pos="720"/>
                <w:tab w:val="num" w:pos="328"/>
              </w:tabs>
              <w:autoSpaceDE w:val="0"/>
              <w:autoSpaceDN w:val="0"/>
              <w:adjustRightInd w:val="0"/>
              <w:ind w:left="328" w:hanging="283"/>
              <w:jc w:val="both"/>
              <w:rPr>
                <w:b/>
                <w:sz w:val="22"/>
                <w:szCs w:val="22"/>
              </w:rPr>
            </w:pPr>
            <w:r>
              <w:rPr>
                <w:sz w:val="22"/>
              </w:rPr>
              <w:t>възстановяемите аванси (ако общият номинален размер на възстановяемия аванс не надхвърля приложимите прагове съгласно настоящия регламент или ако, след като Комисията е била уведомена за методиката за изчисляване на брутния еквивалент на безвъзмездна помощ на възстановимия аванс, тя е одобрила тази методика преди изпълнението на мярката).</w:t>
            </w:r>
          </w:p>
        </w:tc>
        <w:tc>
          <w:tcPr>
            <w:tcW w:w="6379" w:type="dxa"/>
            <w:shd w:val="clear" w:color="auto" w:fill="auto"/>
          </w:tcPr>
          <w:p w:rsidR="000E10AB" w:rsidRPr="005F39D6" w:rsidRDefault="000E10AB" w:rsidP="005F39D6">
            <w:pPr>
              <w:rPr>
                <w:sz w:val="22"/>
                <w:szCs w:val="22"/>
              </w:rPr>
            </w:pPr>
          </w:p>
        </w:tc>
      </w:tr>
      <w:tr w:rsidR="000E10AB" w:rsidRPr="005F39D6" w:rsidTr="002D00A7">
        <w:trPr>
          <w:trHeight w:val="271"/>
        </w:trPr>
        <w:tc>
          <w:tcPr>
            <w:tcW w:w="8233" w:type="dxa"/>
            <w:shd w:val="clear" w:color="auto" w:fill="D9D9D9"/>
          </w:tcPr>
          <w:p w:rsidR="000E10AB" w:rsidRPr="005F39D6" w:rsidRDefault="000E10AB" w:rsidP="005F3509">
            <w:pPr>
              <w:rPr>
                <w:b/>
                <w:sz w:val="22"/>
                <w:szCs w:val="22"/>
              </w:rPr>
            </w:pPr>
            <w:r>
              <w:rPr>
                <w:b/>
                <w:sz w:val="22"/>
              </w:rPr>
              <w:lastRenderedPageBreak/>
              <w:t xml:space="preserve">Член 6 — Стимулиращ ефект </w:t>
            </w:r>
          </w:p>
        </w:tc>
        <w:tc>
          <w:tcPr>
            <w:tcW w:w="6379" w:type="dxa"/>
            <w:shd w:val="clear" w:color="auto" w:fill="D9D9D9"/>
          </w:tcPr>
          <w:p w:rsidR="000E10AB" w:rsidRPr="005F39D6" w:rsidRDefault="000E10AB" w:rsidP="005F3509">
            <w:pPr>
              <w:rPr>
                <w:sz w:val="22"/>
                <w:szCs w:val="22"/>
              </w:rPr>
            </w:pPr>
          </w:p>
        </w:tc>
      </w:tr>
      <w:tr w:rsidR="000E10AB" w:rsidRPr="005F3509" w:rsidTr="00895393">
        <w:trPr>
          <w:trHeight w:val="271"/>
        </w:trPr>
        <w:tc>
          <w:tcPr>
            <w:tcW w:w="8233" w:type="dxa"/>
            <w:tcBorders>
              <w:bottom w:val="single" w:sz="4" w:space="0" w:color="auto"/>
            </w:tcBorders>
            <w:shd w:val="clear" w:color="auto" w:fill="auto"/>
          </w:tcPr>
          <w:p w:rsidR="000E10AB" w:rsidRPr="005F3509" w:rsidRDefault="000E10AB" w:rsidP="005F3509">
            <w:pPr>
              <w:rPr>
                <w:sz w:val="22"/>
                <w:szCs w:val="22"/>
              </w:rPr>
            </w:pPr>
            <w:r>
              <w:rPr>
                <w:sz w:val="22"/>
              </w:rPr>
              <w:t>Помощта може да бъде освободена от задължението за уведомяване само ако има стимулиращ ефект:</w:t>
            </w:r>
          </w:p>
          <w:p w:rsidR="000E10AB" w:rsidRPr="003756E8" w:rsidRDefault="000E10AB" w:rsidP="00B27337">
            <w:pPr>
              <w:numPr>
                <w:ilvl w:val="0"/>
                <w:numId w:val="4"/>
              </w:numPr>
              <w:rPr>
                <w:sz w:val="22"/>
                <w:szCs w:val="22"/>
              </w:rPr>
            </w:pPr>
            <w:r w:rsidRPr="003756E8">
              <w:rPr>
                <w:b/>
                <w:sz w:val="22"/>
                <w:szCs w:val="22"/>
              </w:rPr>
              <w:t>преди работата</w:t>
            </w:r>
            <w:r w:rsidRPr="003756E8">
              <w:rPr>
                <w:sz w:val="22"/>
                <w:szCs w:val="22"/>
              </w:rPr>
              <w:t xml:space="preserve"> по проекта или дейността да е започнала, </w:t>
            </w:r>
            <w:r w:rsidRPr="003756E8">
              <w:rPr>
                <w:b/>
                <w:sz w:val="22"/>
                <w:szCs w:val="22"/>
              </w:rPr>
              <w:t>бенефициерът е подал до държавата членка заявление за помощ</w:t>
            </w:r>
            <w:r w:rsidRPr="003756E8">
              <w:rPr>
                <w:sz w:val="22"/>
                <w:szCs w:val="22"/>
              </w:rPr>
              <w:t>, което съдържа поне следната информация:</w:t>
            </w:r>
          </w:p>
          <w:p w:rsidR="000E10AB" w:rsidRPr="005F3509" w:rsidRDefault="000E10AB" w:rsidP="00B27337">
            <w:pPr>
              <w:numPr>
                <w:ilvl w:val="0"/>
                <w:numId w:val="8"/>
              </w:numPr>
              <w:autoSpaceDE w:val="0"/>
              <w:autoSpaceDN w:val="0"/>
              <w:adjustRightInd w:val="0"/>
              <w:rPr>
                <w:sz w:val="22"/>
                <w:szCs w:val="22"/>
              </w:rPr>
            </w:pPr>
            <w:r>
              <w:rPr>
                <w:sz w:val="22"/>
              </w:rPr>
              <w:t>наименование и големина на предприятието;</w:t>
            </w:r>
          </w:p>
          <w:p w:rsidR="000E10AB" w:rsidRPr="005F3509" w:rsidRDefault="000E10AB" w:rsidP="00B27337">
            <w:pPr>
              <w:numPr>
                <w:ilvl w:val="0"/>
                <w:numId w:val="8"/>
              </w:numPr>
              <w:autoSpaceDE w:val="0"/>
              <w:autoSpaceDN w:val="0"/>
              <w:adjustRightInd w:val="0"/>
              <w:rPr>
                <w:sz w:val="22"/>
                <w:szCs w:val="22"/>
              </w:rPr>
            </w:pPr>
            <w:r>
              <w:rPr>
                <w:sz w:val="22"/>
              </w:rPr>
              <w:t>описание на проекта, включително неговата начална и крайна дата;</w:t>
            </w:r>
          </w:p>
          <w:p w:rsidR="000E10AB" w:rsidRPr="005F3509" w:rsidRDefault="000E10AB" w:rsidP="00B27337">
            <w:pPr>
              <w:numPr>
                <w:ilvl w:val="0"/>
                <w:numId w:val="8"/>
              </w:numPr>
              <w:autoSpaceDE w:val="0"/>
              <w:autoSpaceDN w:val="0"/>
              <w:adjustRightInd w:val="0"/>
              <w:rPr>
                <w:sz w:val="22"/>
                <w:szCs w:val="22"/>
              </w:rPr>
            </w:pPr>
            <w:r>
              <w:rPr>
                <w:sz w:val="22"/>
              </w:rPr>
              <w:t>местонахождение на проекта;</w:t>
            </w:r>
          </w:p>
          <w:p w:rsidR="000E10AB" w:rsidRPr="005F3509" w:rsidRDefault="000E10AB" w:rsidP="00B27337">
            <w:pPr>
              <w:numPr>
                <w:ilvl w:val="0"/>
                <w:numId w:val="8"/>
              </w:numPr>
              <w:autoSpaceDE w:val="0"/>
              <w:autoSpaceDN w:val="0"/>
              <w:adjustRightInd w:val="0"/>
              <w:rPr>
                <w:sz w:val="22"/>
                <w:szCs w:val="22"/>
              </w:rPr>
            </w:pPr>
            <w:r>
              <w:rPr>
                <w:sz w:val="22"/>
              </w:rPr>
              <w:t>списък с разходите по проекта;</w:t>
            </w:r>
          </w:p>
          <w:p w:rsidR="000E10AB" w:rsidRPr="005F3509" w:rsidRDefault="000E10AB" w:rsidP="00B27337">
            <w:pPr>
              <w:numPr>
                <w:ilvl w:val="0"/>
                <w:numId w:val="8"/>
              </w:numPr>
              <w:autoSpaceDE w:val="0"/>
              <w:autoSpaceDN w:val="0"/>
              <w:adjustRightInd w:val="0"/>
              <w:jc w:val="both"/>
              <w:rPr>
                <w:sz w:val="22"/>
                <w:szCs w:val="22"/>
              </w:rPr>
            </w:pPr>
            <w:r>
              <w:rPr>
                <w:sz w:val="22"/>
              </w:rPr>
              <w:t>вид на помощта (безвъзмездни средства, заем, гаранция, възстановяем аванс, вливане на капитал и т.н.) и размер на публичното финансиране, необходимо за проекта.</w:t>
            </w:r>
          </w:p>
          <w:p w:rsidR="000E10AB" w:rsidRPr="005F3509" w:rsidRDefault="00126864" w:rsidP="00B27337">
            <w:pPr>
              <w:numPr>
                <w:ilvl w:val="0"/>
                <w:numId w:val="4"/>
              </w:numPr>
              <w:autoSpaceDE w:val="0"/>
              <w:autoSpaceDN w:val="0"/>
              <w:adjustRightInd w:val="0"/>
              <w:jc w:val="both"/>
              <w:rPr>
                <w:sz w:val="22"/>
                <w:szCs w:val="22"/>
              </w:rPr>
            </w:pPr>
            <w:r w:rsidRPr="00F5334C">
              <w:rPr>
                <w:b/>
                <w:sz w:val="22"/>
                <w:szCs w:val="22"/>
              </w:rPr>
              <w:t xml:space="preserve">помощи </w:t>
            </w:r>
            <w:r w:rsidRPr="00F5334C">
              <w:rPr>
                <w:b/>
                <w:i/>
                <w:sz w:val="22"/>
                <w:szCs w:val="22"/>
              </w:rPr>
              <w:t>ad hoc</w:t>
            </w:r>
            <w:r w:rsidRPr="00F5334C">
              <w:rPr>
                <w:b/>
                <w:sz w:val="22"/>
                <w:szCs w:val="22"/>
              </w:rPr>
              <w:t xml:space="preserve"> за големи предприятия</w:t>
            </w:r>
            <w:r w:rsidRPr="00F5334C">
              <w:rPr>
                <w:sz w:val="22"/>
                <w:szCs w:val="22"/>
              </w:rPr>
              <w:t>; освен</w:t>
            </w:r>
            <w:r>
              <w:rPr>
                <w:sz w:val="22"/>
              </w:rPr>
              <w:t xml:space="preserve"> горното, преди да предостави помощта, държавата членка се е уверила, че с представената от бенефициера документация са доказани едно или повече от следните положения:</w:t>
            </w:r>
          </w:p>
          <w:p w:rsidR="00B94BD5" w:rsidRPr="005F3509" w:rsidRDefault="00B94BD5" w:rsidP="00230B60">
            <w:pPr>
              <w:autoSpaceDE w:val="0"/>
              <w:autoSpaceDN w:val="0"/>
              <w:adjustRightInd w:val="0"/>
              <w:ind w:left="360"/>
              <w:jc w:val="both"/>
              <w:rPr>
                <w:sz w:val="22"/>
                <w:szCs w:val="22"/>
              </w:rPr>
            </w:pPr>
            <w:r>
              <w:rPr>
                <w:sz w:val="22"/>
              </w:rPr>
              <w:lastRenderedPageBreak/>
              <w:t>- съществено нарастване на обхвата на проекта или дейността в резултат на помощта или</w:t>
            </w:r>
          </w:p>
          <w:p w:rsidR="00B94BD5" w:rsidRPr="005F3509" w:rsidRDefault="00B94BD5" w:rsidP="005F39D6">
            <w:pPr>
              <w:autoSpaceDE w:val="0"/>
              <w:autoSpaceDN w:val="0"/>
              <w:adjustRightInd w:val="0"/>
              <w:ind w:left="360"/>
              <w:jc w:val="both"/>
              <w:rPr>
                <w:sz w:val="22"/>
                <w:szCs w:val="22"/>
              </w:rPr>
            </w:pPr>
            <w:r>
              <w:rPr>
                <w:sz w:val="22"/>
              </w:rPr>
              <w:t>- съществено увеличение на общата сума, изразходвана от бенефициера за проекта или дейността, в резултат на помощта, или</w:t>
            </w:r>
          </w:p>
          <w:p w:rsidR="00B94BD5" w:rsidRPr="005F3509" w:rsidRDefault="00B94BD5" w:rsidP="005F39D6">
            <w:pPr>
              <w:autoSpaceDE w:val="0"/>
              <w:autoSpaceDN w:val="0"/>
              <w:adjustRightInd w:val="0"/>
              <w:ind w:left="360"/>
              <w:jc w:val="both"/>
              <w:rPr>
                <w:sz w:val="22"/>
                <w:szCs w:val="22"/>
              </w:rPr>
            </w:pPr>
            <w:r>
              <w:rPr>
                <w:sz w:val="22"/>
              </w:rPr>
              <w:t>- съществено нарастване на скоростта на изпълнение на съответния проект или съответната дейност.</w:t>
            </w:r>
          </w:p>
          <w:p w:rsidR="000E10AB" w:rsidRPr="005F3509" w:rsidRDefault="000E10AB" w:rsidP="005F39D6">
            <w:pPr>
              <w:ind w:left="396"/>
              <w:rPr>
                <w:sz w:val="22"/>
                <w:szCs w:val="22"/>
              </w:rPr>
            </w:pPr>
            <w:r>
              <w:rPr>
                <w:sz w:val="22"/>
                <w:szCs w:val="22"/>
              </w:rPr>
              <w:sym w:font="Wingdings" w:char="F0E0"/>
            </w:r>
            <w:r>
              <w:rPr>
                <w:b/>
                <w:sz w:val="22"/>
              </w:rPr>
              <w:t>Изключения</w:t>
            </w:r>
          </w:p>
          <w:p w:rsidR="000E10AB" w:rsidRPr="005F3509" w:rsidRDefault="000E10AB" w:rsidP="00B27337">
            <w:pPr>
              <w:numPr>
                <w:ilvl w:val="0"/>
                <w:numId w:val="4"/>
              </w:numPr>
              <w:rPr>
                <w:sz w:val="22"/>
                <w:szCs w:val="22"/>
              </w:rPr>
            </w:pPr>
            <w:r>
              <w:rPr>
                <w:sz w:val="22"/>
              </w:rPr>
              <w:t>данъчни предимства, ако:</w:t>
            </w:r>
          </w:p>
          <w:p w:rsidR="000E10AB" w:rsidRPr="005F3509" w:rsidRDefault="000E10AB" w:rsidP="00B27337">
            <w:pPr>
              <w:numPr>
                <w:ilvl w:val="0"/>
                <w:numId w:val="9"/>
              </w:numPr>
              <w:autoSpaceDE w:val="0"/>
              <w:autoSpaceDN w:val="0"/>
              <w:adjustRightInd w:val="0"/>
              <w:jc w:val="both"/>
              <w:rPr>
                <w:sz w:val="22"/>
                <w:szCs w:val="22"/>
              </w:rPr>
            </w:pPr>
            <w:r>
              <w:rPr>
                <w:sz w:val="22"/>
              </w:rPr>
              <w:t>мярката предвижда право на помощ в съответствие с обективни критерии и без допълнителна преценка по собствено усмотрение от страна на държавата членка; и</w:t>
            </w:r>
          </w:p>
          <w:p w:rsidR="000E10AB" w:rsidRPr="005F3509" w:rsidRDefault="000E10AB" w:rsidP="00B27337">
            <w:pPr>
              <w:numPr>
                <w:ilvl w:val="0"/>
                <w:numId w:val="9"/>
              </w:numPr>
              <w:autoSpaceDE w:val="0"/>
              <w:autoSpaceDN w:val="0"/>
              <w:adjustRightInd w:val="0"/>
              <w:jc w:val="both"/>
              <w:rPr>
                <w:sz w:val="22"/>
                <w:szCs w:val="22"/>
              </w:rPr>
            </w:pPr>
            <w:r>
              <w:rPr>
                <w:sz w:val="22"/>
              </w:rPr>
              <w:t>мярката е приета и е била в сила преди започването на работата по подпомагания проект или дейност, освен в случай на последващи фискални схеми, когато дейността вече е била включена в предходните схеми под формата на данъчно предимство.</w:t>
            </w:r>
          </w:p>
        </w:tc>
        <w:tc>
          <w:tcPr>
            <w:tcW w:w="6379" w:type="dxa"/>
            <w:shd w:val="clear" w:color="auto" w:fill="auto"/>
          </w:tcPr>
          <w:p w:rsidR="000E10AB" w:rsidRPr="005F3509" w:rsidRDefault="000E10AB" w:rsidP="005F39D6">
            <w:pPr>
              <w:rPr>
                <w:sz w:val="22"/>
                <w:szCs w:val="22"/>
              </w:rPr>
            </w:pPr>
          </w:p>
        </w:tc>
      </w:tr>
      <w:tr w:rsidR="000E10AB" w:rsidRPr="005F3509" w:rsidTr="002D00A7">
        <w:trPr>
          <w:trHeight w:val="344"/>
        </w:trPr>
        <w:tc>
          <w:tcPr>
            <w:tcW w:w="8233" w:type="dxa"/>
            <w:shd w:val="clear" w:color="auto" w:fill="D9D9D9"/>
          </w:tcPr>
          <w:p w:rsidR="000E10AB" w:rsidRPr="005F3509" w:rsidRDefault="000E10AB" w:rsidP="00126864">
            <w:pPr>
              <w:jc w:val="both"/>
              <w:rPr>
                <w:b/>
                <w:sz w:val="22"/>
                <w:szCs w:val="22"/>
              </w:rPr>
            </w:pPr>
            <w:r>
              <w:rPr>
                <w:b/>
                <w:sz w:val="22"/>
              </w:rPr>
              <w:lastRenderedPageBreak/>
              <w:t>Член 7 — Допустими разходи</w:t>
            </w:r>
          </w:p>
        </w:tc>
        <w:tc>
          <w:tcPr>
            <w:tcW w:w="6379" w:type="dxa"/>
            <w:shd w:val="clear" w:color="auto" w:fill="D9D9D9"/>
          </w:tcPr>
          <w:p w:rsidR="000E10AB" w:rsidRPr="005F3509" w:rsidRDefault="000E10AB" w:rsidP="005F3509">
            <w:pPr>
              <w:rPr>
                <w:sz w:val="22"/>
                <w:szCs w:val="22"/>
              </w:rPr>
            </w:pPr>
          </w:p>
        </w:tc>
      </w:tr>
      <w:tr w:rsidR="000E10AB" w:rsidRPr="005F3509" w:rsidTr="00DF379D">
        <w:trPr>
          <w:trHeight w:val="416"/>
        </w:trPr>
        <w:tc>
          <w:tcPr>
            <w:tcW w:w="8233" w:type="dxa"/>
            <w:tcBorders>
              <w:bottom w:val="single" w:sz="4" w:space="0" w:color="auto"/>
            </w:tcBorders>
            <w:shd w:val="clear" w:color="auto" w:fill="auto"/>
          </w:tcPr>
          <w:p w:rsidR="00DF379D" w:rsidRPr="005F3509" w:rsidRDefault="00126864" w:rsidP="005F39D6">
            <w:pPr>
              <w:jc w:val="both"/>
              <w:rPr>
                <w:sz w:val="22"/>
                <w:szCs w:val="22"/>
              </w:rPr>
            </w:pPr>
            <w:r>
              <w:rPr>
                <w:sz w:val="22"/>
              </w:rPr>
              <w:t>За изчисляването на интензитета на помощта:</w:t>
            </w:r>
          </w:p>
          <w:p w:rsidR="00DF379D" w:rsidRPr="005F3509" w:rsidRDefault="00DF379D" w:rsidP="00B27337">
            <w:pPr>
              <w:numPr>
                <w:ilvl w:val="0"/>
                <w:numId w:val="11"/>
              </w:numPr>
              <w:jc w:val="both"/>
              <w:rPr>
                <w:sz w:val="22"/>
                <w:szCs w:val="22"/>
              </w:rPr>
            </w:pPr>
            <w:r>
              <w:rPr>
                <w:sz w:val="22"/>
              </w:rPr>
              <w:t>Данните се събират преди приспадането на данъци и други такси;</w:t>
            </w:r>
          </w:p>
          <w:p w:rsidR="00DF379D" w:rsidRPr="005F3509" w:rsidRDefault="00DF379D" w:rsidP="00B27337">
            <w:pPr>
              <w:numPr>
                <w:ilvl w:val="0"/>
                <w:numId w:val="11"/>
              </w:numPr>
              <w:jc w:val="both"/>
              <w:rPr>
                <w:sz w:val="22"/>
                <w:szCs w:val="22"/>
              </w:rPr>
            </w:pPr>
            <w:r>
              <w:rPr>
                <w:sz w:val="22"/>
              </w:rPr>
              <w:t>При помощите, които се предоставят не под формата на безвъзмездни средства, а под друга форма, размерът на помощта е нейният брутен еквивалент на безвъзмездна помощ;</w:t>
            </w:r>
          </w:p>
          <w:p w:rsidR="00DF379D" w:rsidRPr="005F3509" w:rsidRDefault="00DF379D" w:rsidP="00B27337">
            <w:pPr>
              <w:numPr>
                <w:ilvl w:val="0"/>
                <w:numId w:val="11"/>
              </w:numPr>
              <w:jc w:val="both"/>
              <w:rPr>
                <w:sz w:val="22"/>
                <w:szCs w:val="22"/>
              </w:rPr>
            </w:pPr>
            <w:r>
              <w:rPr>
                <w:sz w:val="22"/>
              </w:rPr>
              <w:t xml:space="preserve">Помощите, които се предоставят на няколко части, се сконтират към размера си към момента на предоставяне (същото важи и за допустимите разходи и лихвените проценти към момента на предоставяне); </w:t>
            </w:r>
          </w:p>
          <w:p w:rsidR="00DF379D" w:rsidRPr="005F3509" w:rsidRDefault="00DF379D" w:rsidP="00B27337">
            <w:pPr>
              <w:numPr>
                <w:ilvl w:val="0"/>
                <w:numId w:val="11"/>
              </w:numPr>
              <w:jc w:val="both"/>
              <w:rPr>
                <w:sz w:val="22"/>
                <w:szCs w:val="22"/>
              </w:rPr>
            </w:pPr>
            <w:r>
              <w:rPr>
                <w:sz w:val="22"/>
              </w:rPr>
              <w:t>Отделните траншове помощ под формата на данъчни предимства се сконтират въз основа на сконтовите проценти, приложими към момента на влизане в сила на данъчното предимство.</w:t>
            </w:r>
          </w:p>
          <w:p w:rsidR="00DF379D" w:rsidRPr="005F3509" w:rsidRDefault="00DF379D" w:rsidP="00B27337">
            <w:pPr>
              <w:numPr>
                <w:ilvl w:val="0"/>
                <w:numId w:val="11"/>
              </w:numPr>
              <w:autoSpaceDE w:val="0"/>
              <w:autoSpaceDN w:val="0"/>
              <w:adjustRightInd w:val="0"/>
              <w:jc w:val="both"/>
              <w:rPr>
                <w:sz w:val="22"/>
                <w:szCs w:val="22"/>
              </w:rPr>
            </w:pPr>
            <w:r>
              <w:rPr>
                <w:sz w:val="22"/>
              </w:rPr>
              <w:t xml:space="preserve">Когато помощите се предоставят под формата на възстановяеми аванси, които, при липса на одобрена методика за изчисляване на техния брутен еквивалент на безвъзмездна помощ, са изразени като процент от допустимите разходи, и мярката предвижда, че при успешен резултат от проекта, за който се съди въз </w:t>
            </w:r>
            <w:r>
              <w:rPr>
                <w:sz w:val="22"/>
              </w:rPr>
              <w:lastRenderedPageBreak/>
              <w:t>основа на реалистична и предпазлива хипотеза, авансовите плащания се възстановяват с лихвен процент, поне равен на сконтовия процент, приложим към момента на предоставяне на помощта, максималният интензитет на помощта може да бъде увеличен с 10 процентни пункта.</w:t>
            </w:r>
          </w:p>
          <w:p w:rsidR="00DF379D" w:rsidRPr="005F3509" w:rsidRDefault="00DF379D" w:rsidP="005F39D6">
            <w:pPr>
              <w:autoSpaceDE w:val="0"/>
              <w:autoSpaceDN w:val="0"/>
              <w:adjustRightInd w:val="0"/>
              <w:jc w:val="both"/>
              <w:rPr>
                <w:sz w:val="22"/>
                <w:szCs w:val="22"/>
              </w:rPr>
            </w:pPr>
            <w:r>
              <w:rPr>
                <w:sz w:val="22"/>
              </w:rPr>
              <w:t>Допустими разходи и документация</w:t>
            </w:r>
          </w:p>
          <w:p w:rsidR="000E10AB" w:rsidRPr="005F3509" w:rsidRDefault="00DF379D" w:rsidP="00B27337">
            <w:pPr>
              <w:numPr>
                <w:ilvl w:val="0"/>
                <w:numId w:val="11"/>
              </w:numPr>
              <w:autoSpaceDE w:val="0"/>
              <w:autoSpaceDN w:val="0"/>
              <w:adjustRightInd w:val="0"/>
              <w:jc w:val="both"/>
              <w:rPr>
                <w:sz w:val="22"/>
                <w:szCs w:val="22"/>
              </w:rPr>
            </w:pPr>
            <w:r>
              <w:rPr>
                <w:sz w:val="22"/>
              </w:rPr>
              <w:t>Допустими разходи, подкрепени с ясни, конкретни и актуални документи.</w:t>
            </w:r>
          </w:p>
        </w:tc>
        <w:tc>
          <w:tcPr>
            <w:tcW w:w="6379" w:type="dxa"/>
            <w:shd w:val="clear" w:color="auto" w:fill="auto"/>
          </w:tcPr>
          <w:p w:rsidR="000E10AB" w:rsidRPr="005F3509" w:rsidRDefault="000E10AB" w:rsidP="005F3509">
            <w:pPr>
              <w:rPr>
                <w:sz w:val="22"/>
                <w:szCs w:val="22"/>
              </w:rPr>
            </w:pPr>
          </w:p>
        </w:tc>
      </w:tr>
      <w:tr w:rsidR="000E10AB" w:rsidRPr="005F3509" w:rsidTr="002D00A7">
        <w:trPr>
          <w:trHeight w:val="271"/>
        </w:trPr>
        <w:tc>
          <w:tcPr>
            <w:tcW w:w="8233" w:type="dxa"/>
            <w:shd w:val="clear" w:color="auto" w:fill="D9D9D9"/>
          </w:tcPr>
          <w:p w:rsidR="000E10AB" w:rsidRPr="005F3509" w:rsidRDefault="000E10AB" w:rsidP="005F3509">
            <w:pPr>
              <w:jc w:val="both"/>
              <w:rPr>
                <w:b/>
                <w:sz w:val="22"/>
                <w:szCs w:val="22"/>
              </w:rPr>
            </w:pPr>
            <w:r>
              <w:rPr>
                <w:b/>
                <w:sz w:val="22"/>
              </w:rPr>
              <w:lastRenderedPageBreak/>
              <w:t>Член 8 — Натрупване</w:t>
            </w:r>
          </w:p>
        </w:tc>
        <w:tc>
          <w:tcPr>
            <w:tcW w:w="6379" w:type="dxa"/>
            <w:shd w:val="clear" w:color="auto" w:fill="D9D9D9"/>
          </w:tcPr>
          <w:p w:rsidR="000E10AB" w:rsidRPr="005F3509" w:rsidRDefault="000E10AB" w:rsidP="005F3509">
            <w:pPr>
              <w:rPr>
                <w:sz w:val="22"/>
                <w:szCs w:val="22"/>
              </w:rPr>
            </w:pPr>
          </w:p>
        </w:tc>
      </w:tr>
      <w:tr w:rsidR="000E10AB" w:rsidRPr="005F3509" w:rsidTr="00895393">
        <w:trPr>
          <w:trHeight w:val="271"/>
        </w:trPr>
        <w:tc>
          <w:tcPr>
            <w:tcW w:w="8233" w:type="dxa"/>
            <w:tcBorders>
              <w:bottom w:val="single" w:sz="4" w:space="0" w:color="auto"/>
            </w:tcBorders>
            <w:shd w:val="clear" w:color="auto" w:fill="auto"/>
          </w:tcPr>
          <w:p w:rsidR="001141D8" w:rsidRPr="009A29CE" w:rsidRDefault="001141D8" w:rsidP="00B27337">
            <w:pPr>
              <w:numPr>
                <w:ilvl w:val="0"/>
                <w:numId w:val="12"/>
              </w:numPr>
              <w:jc w:val="both"/>
              <w:rPr>
                <w:sz w:val="22"/>
                <w:szCs w:val="22"/>
              </w:rPr>
            </w:pPr>
            <w:r>
              <w:t xml:space="preserve">За праговете и максималните интензитети на помощта се взема предвид </w:t>
            </w:r>
            <w:r w:rsidRPr="009A29CE">
              <w:rPr>
                <w:b/>
                <w:sz w:val="22"/>
                <w:szCs w:val="22"/>
              </w:rPr>
              <w:t>общият размер</w:t>
            </w:r>
            <w:r w:rsidRPr="009A29CE">
              <w:rPr>
                <w:sz w:val="22"/>
                <w:szCs w:val="22"/>
              </w:rPr>
              <w:t xml:space="preserve"> на помощта (параграф 1).</w:t>
            </w:r>
          </w:p>
          <w:p w:rsidR="001141D8" w:rsidRPr="005F3509" w:rsidRDefault="001141D8" w:rsidP="00B27337">
            <w:pPr>
              <w:numPr>
                <w:ilvl w:val="0"/>
                <w:numId w:val="12"/>
              </w:numPr>
              <w:autoSpaceDE w:val="0"/>
              <w:autoSpaceDN w:val="0"/>
              <w:adjustRightInd w:val="0"/>
              <w:jc w:val="both"/>
              <w:rPr>
                <w:sz w:val="22"/>
                <w:szCs w:val="22"/>
              </w:rPr>
            </w:pPr>
            <w:r w:rsidRPr="009A29CE">
              <w:rPr>
                <w:sz w:val="22"/>
                <w:szCs w:val="22"/>
              </w:rPr>
              <w:t xml:space="preserve">Когато </w:t>
            </w:r>
            <w:r w:rsidRPr="009A29CE">
              <w:rPr>
                <w:b/>
                <w:sz w:val="22"/>
                <w:szCs w:val="22"/>
              </w:rPr>
              <w:t>финансиране от Съюза</w:t>
            </w:r>
            <w:r>
              <w:rPr>
                <w:sz w:val="22"/>
              </w:rPr>
              <w:t xml:space="preserve"> (което не е под контрола на държавата членка) е съчетано с държавна помощ, само тази държавна помощ се взема предвид за установяването на това дали са спазени праговете за уведомяване и максималните интензитети на помощта или максималните размери на помощта, при условие че общият размер на публичното финансиране, предоставено във връзка с едни и същи допустими разходи, не превишава най-благоприятния процент на финансиране, установен в приложимите правила на законодателството на Съюза (параграф 2).</w:t>
            </w:r>
          </w:p>
          <w:p w:rsidR="001141D8" w:rsidRPr="005F3509" w:rsidRDefault="001141D8" w:rsidP="00B27337">
            <w:pPr>
              <w:numPr>
                <w:ilvl w:val="0"/>
                <w:numId w:val="12"/>
              </w:numPr>
              <w:jc w:val="both"/>
              <w:rPr>
                <w:sz w:val="22"/>
                <w:szCs w:val="22"/>
              </w:rPr>
            </w:pPr>
            <w:r>
              <w:rPr>
                <w:sz w:val="22"/>
              </w:rPr>
              <w:t xml:space="preserve">Освободените от задължението за уведомяване помощи могат да се натрупват с всякаква друга държавна помощ, ако </w:t>
            </w:r>
            <w:r>
              <w:rPr>
                <w:b/>
                <w:sz w:val="22"/>
              </w:rPr>
              <w:t>установимите разходи са различни</w:t>
            </w:r>
            <w:r>
              <w:rPr>
                <w:sz w:val="22"/>
              </w:rPr>
              <w:t xml:space="preserve"> (параграф 3, буква а).</w:t>
            </w:r>
          </w:p>
          <w:p w:rsidR="001141D8" w:rsidRPr="005F3509" w:rsidRDefault="001141D8" w:rsidP="00B27337">
            <w:pPr>
              <w:numPr>
                <w:ilvl w:val="0"/>
                <w:numId w:val="12"/>
              </w:numPr>
              <w:jc w:val="both"/>
              <w:rPr>
                <w:sz w:val="22"/>
                <w:szCs w:val="22"/>
              </w:rPr>
            </w:pPr>
            <w:r>
              <w:rPr>
                <w:sz w:val="22"/>
              </w:rPr>
              <w:t xml:space="preserve">Не се допуска натрупване на освободени от задължението за уведомяване помощи с никаква друга помощ във връзка със </w:t>
            </w:r>
            <w:r>
              <w:rPr>
                <w:b/>
                <w:sz w:val="22"/>
              </w:rPr>
              <w:t>същите допустими разходи</w:t>
            </w:r>
            <w:r>
              <w:rPr>
                <w:sz w:val="22"/>
              </w:rPr>
              <w:t>, които се припокриват частично или напълно, ако това натрупване води до надхвърляне на най-високия интензитет или най-високия размер на помощта, приложими за тази помощ (параграф 3, буква б).</w:t>
            </w:r>
          </w:p>
          <w:p w:rsidR="000E10AB" w:rsidRPr="005F3509" w:rsidRDefault="001141D8" w:rsidP="00B27337">
            <w:pPr>
              <w:numPr>
                <w:ilvl w:val="0"/>
                <w:numId w:val="12"/>
              </w:numPr>
              <w:jc w:val="both"/>
              <w:rPr>
                <w:sz w:val="22"/>
                <w:szCs w:val="22"/>
              </w:rPr>
            </w:pPr>
            <w:r>
              <w:rPr>
                <w:sz w:val="22"/>
              </w:rPr>
              <w:t xml:space="preserve">Държавните помощи, освободени от задължението за уведомяване по силата на ОРГО, не могат да се натрупват с помощ </w:t>
            </w:r>
            <w:r>
              <w:rPr>
                <w:b/>
                <w:sz w:val="22"/>
              </w:rPr>
              <w:t>de minimis</w:t>
            </w:r>
            <w:r>
              <w:rPr>
                <w:sz w:val="22"/>
              </w:rPr>
              <w:t xml:space="preserve"> по отношение на същите допустими разходи, ако това натрупване би довело до интензитет на помощта, надхвърлящ праговете, установени в глава III от ОРГО (параграф 5).</w:t>
            </w:r>
          </w:p>
        </w:tc>
        <w:tc>
          <w:tcPr>
            <w:tcW w:w="6379" w:type="dxa"/>
            <w:shd w:val="clear" w:color="auto" w:fill="auto"/>
          </w:tcPr>
          <w:p w:rsidR="000E10AB" w:rsidRPr="005F3509" w:rsidRDefault="000E10AB" w:rsidP="00126864">
            <w:pPr>
              <w:rPr>
                <w:sz w:val="22"/>
                <w:szCs w:val="22"/>
              </w:rPr>
            </w:pPr>
          </w:p>
        </w:tc>
      </w:tr>
      <w:tr w:rsidR="00FA3CC9" w:rsidRPr="002B692E" w:rsidTr="00B27337">
        <w:trPr>
          <w:trHeight w:val="271"/>
        </w:trPr>
        <w:tc>
          <w:tcPr>
            <w:tcW w:w="8233" w:type="dxa"/>
            <w:tcBorders>
              <w:top w:val="single" w:sz="4" w:space="0" w:color="auto"/>
              <w:left w:val="single" w:sz="4" w:space="0" w:color="auto"/>
              <w:bottom w:val="single" w:sz="4" w:space="0" w:color="auto"/>
              <w:right w:val="single" w:sz="4" w:space="0" w:color="auto"/>
            </w:tcBorders>
            <w:shd w:val="clear" w:color="auto" w:fill="D9D9D9"/>
          </w:tcPr>
          <w:p w:rsidR="00FA3CC9" w:rsidRPr="002B692E" w:rsidRDefault="00FA3CC9" w:rsidP="00FA3CC9">
            <w:pPr>
              <w:tabs>
                <w:tab w:val="num" w:pos="360"/>
              </w:tabs>
              <w:ind w:left="360" w:hanging="360"/>
              <w:jc w:val="both"/>
              <w:rPr>
                <w:b/>
                <w:sz w:val="22"/>
                <w:szCs w:val="22"/>
              </w:rPr>
            </w:pPr>
            <w:r>
              <w:rPr>
                <w:b/>
                <w:sz w:val="22"/>
              </w:rPr>
              <w:t xml:space="preserve">Член 9 — Публикуване и информация </w:t>
            </w:r>
          </w:p>
        </w:tc>
        <w:tc>
          <w:tcPr>
            <w:tcW w:w="6379" w:type="dxa"/>
            <w:tcBorders>
              <w:top w:val="single" w:sz="4" w:space="0" w:color="auto"/>
              <w:left w:val="single" w:sz="4" w:space="0" w:color="auto"/>
              <w:bottom w:val="single" w:sz="4" w:space="0" w:color="auto"/>
              <w:right w:val="single" w:sz="4" w:space="0" w:color="auto"/>
            </w:tcBorders>
            <w:shd w:val="clear" w:color="auto" w:fill="D9D9D9"/>
          </w:tcPr>
          <w:p w:rsidR="00FA3CC9" w:rsidRPr="002B692E" w:rsidRDefault="00FA3CC9" w:rsidP="000A4AB7">
            <w:pPr>
              <w:rPr>
                <w:sz w:val="22"/>
                <w:szCs w:val="22"/>
              </w:rPr>
            </w:pPr>
          </w:p>
        </w:tc>
      </w:tr>
      <w:tr w:rsidR="00FA3CC9" w:rsidRPr="002B692E" w:rsidTr="00FA3CC9">
        <w:trPr>
          <w:trHeight w:val="271"/>
        </w:trPr>
        <w:tc>
          <w:tcPr>
            <w:tcW w:w="8233" w:type="dxa"/>
            <w:tcBorders>
              <w:top w:val="single" w:sz="4" w:space="0" w:color="auto"/>
              <w:left w:val="single" w:sz="4" w:space="0" w:color="auto"/>
              <w:bottom w:val="single" w:sz="4" w:space="0" w:color="auto"/>
              <w:right w:val="single" w:sz="4" w:space="0" w:color="auto"/>
            </w:tcBorders>
            <w:shd w:val="clear" w:color="auto" w:fill="auto"/>
          </w:tcPr>
          <w:p w:rsidR="00FA3CC9" w:rsidRPr="00B27337" w:rsidRDefault="00FA3CC9" w:rsidP="00B27337">
            <w:pPr>
              <w:numPr>
                <w:ilvl w:val="0"/>
                <w:numId w:val="16"/>
              </w:numPr>
              <w:autoSpaceDE w:val="0"/>
              <w:autoSpaceDN w:val="0"/>
              <w:adjustRightInd w:val="0"/>
              <w:ind w:left="328" w:hanging="328"/>
              <w:jc w:val="both"/>
              <w:rPr>
                <w:sz w:val="22"/>
                <w:szCs w:val="22"/>
              </w:rPr>
            </w:pPr>
            <w:r>
              <w:rPr>
                <w:sz w:val="22"/>
              </w:rPr>
              <w:t xml:space="preserve">Публикуване на подробен уебсайт за държавните помощи — на национално или </w:t>
            </w:r>
            <w:r>
              <w:rPr>
                <w:sz w:val="22"/>
              </w:rPr>
              <w:lastRenderedPageBreak/>
              <w:t>регионално равнище — на следното (параграф 1):</w:t>
            </w:r>
          </w:p>
          <w:p w:rsidR="00FA3CC9" w:rsidRPr="00B27337" w:rsidRDefault="00FA3CC9" w:rsidP="00B27337">
            <w:pPr>
              <w:numPr>
                <w:ilvl w:val="1"/>
                <w:numId w:val="17"/>
              </w:numPr>
              <w:autoSpaceDE w:val="0"/>
              <w:autoSpaceDN w:val="0"/>
              <w:adjustRightInd w:val="0"/>
              <w:ind w:left="754" w:hanging="426"/>
              <w:jc w:val="both"/>
              <w:rPr>
                <w:sz w:val="22"/>
                <w:szCs w:val="22"/>
              </w:rPr>
            </w:pPr>
            <w:r>
              <w:rPr>
                <w:sz w:val="22"/>
              </w:rPr>
              <w:t>обобщената информация (вж. член 11) или връзка, която предоставя достъп до нея;</w:t>
            </w:r>
          </w:p>
          <w:p w:rsidR="00FA3CC9" w:rsidRPr="00B27337" w:rsidRDefault="00FA3CC9" w:rsidP="00B27337">
            <w:pPr>
              <w:numPr>
                <w:ilvl w:val="1"/>
                <w:numId w:val="17"/>
              </w:numPr>
              <w:autoSpaceDE w:val="0"/>
              <w:autoSpaceDN w:val="0"/>
              <w:adjustRightInd w:val="0"/>
              <w:ind w:left="754" w:hanging="426"/>
              <w:jc w:val="both"/>
              <w:rPr>
                <w:sz w:val="22"/>
                <w:szCs w:val="22"/>
              </w:rPr>
            </w:pPr>
            <w:r>
              <w:rPr>
                <w:sz w:val="22"/>
              </w:rPr>
              <w:t>пълния текст на всяка мярка за помощ (вж. член 11) или връзка, която предоставя достъп до него;</w:t>
            </w:r>
          </w:p>
          <w:p w:rsidR="00FA3CC9" w:rsidRPr="00B27337" w:rsidRDefault="00FA3CC9" w:rsidP="00B27337">
            <w:pPr>
              <w:numPr>
                <w:ilvl w:val="1"/>
                <w:numId w:val="17"/>
              </w:numPr>
              <w:autoSpaceDE w:val="0"/>
              <w:autoSpaceDN w:val="0"/>
              <w:adjustRightInd w:val="0"/>
              <w:ind w:left="754" w:hanging="426"/>
              <w:jc w:val="both"/>
              <w:rPr>
                <w:sz w:val="22"/>
                <w:szCs w:val="22"/>
              </w:rPr>
            </w:pPr>
            <w:r>
              <w:rPr>
                <w:sz w:val="22"/>
              </w:rPr>
              <w:t>информацията относно всяка предоставена индивидуална помощ, надхвърляща 500 000 евро (вж. приложение III).</w:t>
            </w:r>
          </w:p>
          <w:p w:rsidR="00FA3CC9" w:rsidRPr="00B27337" w:rsidRDefault="00FA3CC9" w:rsidP="00FA3CC9">
            <w:pPr>
              <w:tabs>
                <w:tab w:val="num" w:pos="360"/>
              </w:tabs>
              <w:ind w:left="360" w:hanging="360"/>
              <w:jc w:val="both"/>
              <w:rPr>
                <w:sz w:val="22"/>
                <w:szCs w:val="22"/>
              </w:rPr>
            </w:pPr>
            <w:r>
              <w:rPr>
                <w:sz w:val="22"/>
              </w:rPr>
              <w:t>Що се отнася до помощта, предоставена в полза на проекти по цел „Европейско териториално сътрудничество“, информацията, посочена в настоящия параграф, се помества на уебсайта на държавата членка, в която е разположен съответният управителен орган, съгласно определениет</w:t>
            </w:r>
            <w:r w:rsidR="007A6557">
              <w:rPr>
                <w:sz w:val="22"/>
              </w:rPr>
              <w:t>о в член 21 от Регламент (ЕС) №</w:t>
            </w:r>
            <w:r w:rsidR="007A6557">
              <w:rPr>
                <w:sz w:val="22"/>
                <w:lang w:val="en-GB"/>
              </w:rPr>
              <w:t> </w:t>
            </w:r>
            <w:r>
              <w:rPr>
                <w:sz w:val="22"/>
              </w:rPr>
              <w:t>1299/2013 на Европейския парламент и на Съвета. Като алтернативен вариант участващите държави членки могат също да решат всяка от тях да предоставя информацията относно мерките за помощ на тяхната територия на съответните уебсайтове.</w:t>
            </w:r>
          </w:p>
          <w:p w:rsidR="00FA3CC9" w:rsidRPr="00B27337" w:rsidRDefault="00FA3CC9" w:rsidP="00B27337">
            <w:pPr>
              <w:numPr>
                <w:ilvl w:val="0"/>
                <w:numId w:val="16"/>
              </w:numPr>
              <w:autoSpaceDE w:val="0"/>
              <w:autoSpaceDN w:val="0"/>
              <w:adjustRightInd w:val="0"/>
              <w:ind w:left="328" w:hanging="283"/>
              <w:jc w:val="both"/>
              <w:rPr>
                <w:sz w:val="22"/>
                <w:szCs w:val="22"/>
              </w:rPr>
            </w:pPr>
            <w:r>
              <w:rPr>
                <w:sz w:val="22"/>
              </w:rPr>
              <w:t>За схемите под формата на данъчни предимства и схемите по членове 16 и 21 (с изключение на МСП, които не са осъществили търговска продажба на нито един пазар) условията, посочени в параграф 1, буква в) от настоящия член, се считат за изпълнени, ако държавите членки публикуват необходимата информация за размера на индивидуалните помощи в следните диапазони (в милиони евро) (параграф 2):</w:t>
            </w:r>
          </w:p>
          <w:p w:rsidR="00FA3CC9" w:rsidRPr="00B27337" w:rsidRDefault="00FA3CC9" w:rsidP="00B27337">
            <w:pPr>
              <w:numPr>
                <w:ilvl w:val="0"/>
                <w:numId w:val="18"/>
              </w:numPr>
              <w:autoSpaceDE w:val="0"/>
              <w:autoSpaceDN w:val="0"/>
              <w:adjustRightInd w:val="0"/>
              <w:jc w:val="both"/>
              <w:rPr>
                <w:sz w:val="22"/>
                <w:szCs w:val="22"/>
              </w:rPr>
            </w:pPr>
            <w:r>
              <w:rPr>
                <w:sz w:val="22"/>
              </w:rPr>
              <w:t>0,5—1;</w:t>
            </w:r>
          </w:p>
          <w:p w:rsidR="00FA3CC9" w:rsidRPr="00B27337" w:rsidRDefault="00FA3CC9" w:rsidP="00B27337">
            <w:pPr>
              <w:numPr>
                <w:ilvl w:val="0"/>
                <w:numId w:val="18"/>
              </w:numPr>
              <w:autoSpaceDE w:val="0"/>
              <w:autoSpaceDN w:val="0"/>
              <w:adjustRightInd w:val="0"/>
              <w:jc w:val="both"/>
              <w:rPr>
                <w:sz w:val="22"/>
                <w:szCs w:val="22"/>
              </w:rPr>
            </w:pPr>
            <w:r>
              <w:rPr>
                <w:sz w:val="22"/>
              </w:rPr>
              <w:t>1—2;</w:t>
            </w:r>
          </w:p>
          <w:p w:rsidR="00FA3CC9" w:rsidRPr="00B27337" w:rsidRDefault="00FA3CC9" w:rsidP="00B27337">
            <w:pPr>
              <w:numPr>
                <w:ilvl w:val="0"/>
                <w:numId w:val="18"/>
              </w:numPr>
              <w:autoSpaceDE w:val="0"/>
              <w:autoSpaceDN w:val="0"/>
              <w:adjustRightInd w:val="0"/>
              <w:jc w:val="both"/>
              <w:rPr>
                <w:sz w:val="22"/>
                <w:szCs w:val="22"/>
              </w:rPr>
            </w:pPr>
            <w:r>
              <w:rPr>
                <w:sz w:val="22"/>
              </w:rPr>
              <w:t>2—5;</w:t>
            </w:r>
          </w:p>
          <w:p w:rsidR="00FA3CC9" w:rsidRPr="00B27337" w:rsidRDefault="00FA3CC9" w:rsidP="00B27337">
            <w:pPr>
              <w:numPr>
                <w:ilvl w:val="0"/>
                <w:numId w:val="18"/>
              </w:numPr>
              <w:autoSpaceDE w:val="0"/>
              <w:autoSpaceDN w:val="0"/>
              <w:adjustRightInd w:val="0"/>
              <w:jc w:val="both"/>
              <w:rPr>
                <w:sz w:val="22"/>
                <w:szCs w:val="22"/>
              </w:rPr>
            </w:pPr>
            <w:r>
              <w:rPr>
                <w:sz w:val="22"/>
              </w:rPr>
              <w:t>5—10;</w:t>
            </w:r>
          </w:p>
          <w:p w:rsidR="00FA3CC9" w:rsidRPr="00B27337" w:rsidRDefault="00FA3CC9" w:rsidP="00B27337">
            <w:pPr>
              <w:numPr>
                <w:ilvl w:val="0"/>
                <w:numId w:val="18"/>
              </w:numPr>
              <w:autoSpaceDE w:val="0"/>
              <w:autoSpaceDN w:val="0"/>
              <w:adjustRightInd w:val="0"/>
              <w:jc w:val="both"/>
              <w:rPr>
                <w:sz w:val="22"/>
                <w:szCs w:val="22"/>
              </w:rPr>
            </w:pPr>
            <w:r>
              <w:rPr>
                <w:sz w:val="22"/>
              </w:rPr>
              <w:t>10—30; и</w:t>
            </w:r>
          </w:p>
          <w:p w:rsidR="00FA3CC9" w:rsidRPr="00B27337" w:rsidRDefault="00FA3CC9" w:rsidP="00B27337">
            <w:pPr>
              <w:numPr>
                <w:ilvl w:val="0"/>
                <w:numId w:val="18"/>
              </w:numPr>
              <w:autoSpaceDE w:val="0"/>
              <w:autoSpaceDN w:val="0"/>
              <w:adjustRightInd w:val="0"/>
              <w:jc w:val="both"/>
              <w:rPr>
                <w:sz w:val="22"/>
                <w:szCs w:val="22"/>
              </w:rPr>
            </w:pPr>
            <w:r>
              <w:rPr>
                <w:sz w:val="22"/>
              </w:rPr>
              <w:t>30 и повече.</w:t>
            </w:r>
          </w:p>
          <w:p w:rsidR="00FA3CC9" w:rsidRPr="00B27337" w:rsidRDefault="00FA3CC9" w:rsidP="00B27337">
            <w:pPr>
              <w:numPr>
                <w:ilvl w:val="0"/>
                <w:numId w:val="16"/>
              </w:numPr>
              <w:autoSpaceDE w:val="0"/>
              <w:autoSpaceDN w:val="0"/>
              <w:adjustRightInd w:val="0"/>
              <w:ind w:left="328" w:hanging="283"/>
              <w:jc w:val="both"/>
              <w:rPr>
                <w:sz w:val="22"/>
                <w:szCs w:val="22"/>
              </w:rPr>
            </w:pPr>
            <w:r>
              <w:rPr>
                <w:sz w:val="22"/>
              </w:rPr>
              <w:t xml:space="preserve">Информацията, посочена в параграф 1, буква в), е организирана и достъпна по стандартизиран начин (вж. приложение III) и дава възможност за ефективно търсене и изтегляне. Информацията, посочена в параграф 1, се публикува до 6 месеца от датата на предоставяне на помощта или, за помощи под формата на данъчни предимства, до 1 година от датата, на която трябва да се подаде </w:t>
            </w:r>
            <w:r>
              <w:rPr>
                <w:sz w:val="22"/>
              </w:rPr>
              <w:lastRenderedPageBreak/>
              <w:t>данъчната декларация, и е достъпна най-малко 10 години от датата, на която е предоставена помощта (параграф 4).</w:t>
            </w:r>
          </w:p>
          <w:p w:rsidR="00FA3CC9" w:rsidRPr="00FA3CC9" w:rsidRDefault="00FA3CC9" w:rsidP="00B27337">
            <w:pPr>
              <w:numPr>
                <w:ilvl w:val="0"/>
                <w:numId w:val="16"/>
              </w:numPr>
              <w:autoSpaceDE w:val="0"/>
              <w:autoSpaceDN w:val="0"/>
              <w:adjustRightInd w:val="0"/>
              <w:ind w:left="328" w:hanging="283"/>
              <w:jc w:val="both"/>
              <w:rPr>
                <w:b/>
                <w:sz w:val="22"/>
                <w:szCs w:val="22"/>
              </w:rPr>
            </w:pPr>
            <w:r>
              <w:rPr>
                <w:sz w:val="22"/>
              </w:rPr>
              <w:t>Държавите членки осигуряват съответствие с разпоредбите на настоящия член най-късно две години след влизане в сила на настоящия регламент (т.e. 1.7.2016 г.) (параграф 6).</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A3CC9" w:rsidRPr="002B692E" w:rsidRDefault="00FA3CC9" w:rsidP="000A4AB7">
            <w:pPr>
              <w:rPr>
                <w:sz w:val="22"/>
                <w:szCs w:val="22"/>
              </w:rPr>
            </w:pPr>
          </w:p>
        </w:tc>
      </w:tr>
    </w:tbl>
    <w:p w:rsidR="00FA3CC9" w:rsidRDefault="00FA3CC9" w:rsidP="005F3509">
      <w:pPr>
        <w:rPr>
          <w:b/>
          <w:sz w:val="22"/>
          <w:szCs w:val="22"/>
        </w:rPr>
      </w:pPr>
    </w:p>
    <w:p w:rsidR="007D461F" w:rsidRPr="007A6557" w:rsidRDefault="007D461F" w:rsidP="005F3509">
      <w:pPr>
        <w:rPr>
          <w:sz w:val="22"/>
          <w:szCs w:val="22"/>
        </w:rPr>
      </w:pPr>
      <w:r w:rsidRPr="007A6557">
        <w:rPr>
          <w:b/>
          <w:sz w:val="22"/>
          <w:szCs w:val="22"/>
        </w:rPr>
        <w:t>За определенията на понятията</w:t>
      </w:r>
      <w:r w:rsidRPr="007A6557">
        <w:rPr>
          <w:sz w:val="22"/>
          <w:szCs w:val="22"/>
        </w:rPr>
        <w:t>: член 2 (да се обърне внимание на новото определение на предприятие в затруднено положение).</w:t>
      </w:r>
    </w:p>
    <w:p w:rsidR="00D64EFF" w:rsidRPr="007A6557" w:rsidRDefault="00D64EFF" w:rsidP="005F3509">
      <w:pPr>
        <w:rPr>
          <w:sz w:val="22"/>
          <w:szCs w:val="22"/>
        </w:rPr>
      </w:pPr>
    </w:p>
    <w:p w:rsidR="007D461F" w:rsidRPr="007A6557" w:rsidRDefault="00FA3CC9" w:rsidP="005F3509">
      <w:pPr>
        <w:rPr>
          <w:sz w:val="22"/>
          <w:szCs w:val="22"/>
        </w:rPr>
      </w:pPr>
      <w:r w:rsidRPr="007A6557">
        <w:rPr>
          <w:b/>
          <w:sz w:val="22"/>
          <w:szCs w:val="22"/>
        </w:rPr>
        <w:t>Докладване</w:t>
      </w:r>
      <w:r w:rsidRPr="007A6557">
        <w:rPr>
          <w:sz w:val="22"/>
          <w:szCs w:val="22"/>
        </w:rPr>
        <w:t>: член 11.</w:t>
      </w:r>
    </w:p>
    <w:p w:rsidR="007D461F" w:rsidRPr="007A6557" w:rsidRDefault="007D461F" w:rsidP="00126864">
      <w:pPr>
        <w:rPr>
          <w:sz w:val="22"/>
          <w:szCs w:val="22"/>
        </w:rPr>
      </w:pPr>
      <w:r w:rsidRPr="007A6557">
        <w:rPr>
          <w:b/>
          <w:sz w:val="22"/>
          <w:szCs w:val="22"/>
        </w:rPr>
        <w:t>Контрол:</w:t>
      </w:r>
      <w:r w:rsidRPr="007A6557">
        <w:rPr>
          <w:sz w:val="22"/>
          <w:szCs w:val="22"/>
        </w:rPr>
        <w:t xml:space="preserve"> член 12.</w:t>
      </w:r>
    </w:p>
    <w:p w:rsidR="007D461F" w:rsidRPr="007A6557" w:rsidRDefault="00DD57E1" w:rsidP="00EE3936">
      <w:pPr>
        <w:rPr>
          <w:sz w:val="22"/>
          <w:szCs w:val="22"/>
        </w:rPr>
      </w:pPr>
      <w:r w:rsidRPr="007A6557">
        <w:rPr>
          <w:b/>
          <w:sz w:val="22"/>
          <w:szCs w:val="22"/>
        </w:rPr>
        <w:t>Отмяна на груповото освобождаване</w:t>
      </w:r>
      <w:r w:rsidRPr="007A6557">
        <w:rPr>
          <w:sz w:val="22"/>
          <w:szCs w:val="22"/>
        </w:rPr>
        <w:t>: член 10.</w:t>
      </w:r>
    </w:p>
    <w:p w:rsidR="00F177AC" w:rsidRPr="007A6557" w:rsidRDefault="00F177AC" w:rsidP="00EE3936">
      <w:pPr>
        <w:rPr>
          <w:sz w:val="22"/>
          <w:szCs w:val="22"/>
        </w:rPr>
      </w:pPr>
    </w:p>
    <w:p w:rsidR="00003D17" w:rsidRPr="005F3509" w:rsidRDefault="00E002A5" w:rsidP="00230B60">
      <w:pPr>
        <w:jc w:val="center"/>
        <w:rPr>
          <w:b/>
          <w:sz w:val="22"/>
          <w:szCs w:val="22"/>
          <w:u w:val="single"/>
        </w:rPr>
      </w:pPr>
      <w:r>
        <w:br w:type="page"/>
      </w:r>
      <w:r>
        <w:rPr>
          <w:b/>
          <w:sz w:val="22"/>
          <w:u w:val="single"/>
        </w:rPr>
        <w:lastRenderedPageBreak/>
        <w:t>Б. Специални условия за помощите за обучение</w:t>
      </w:r>
    </w:p>
    <w:p w:rsidR="00003D17" w:rsidRPr="005F3509" w:rsidRDefault="00003D17" w:rsidP="00230B60">
      <w:pPr>
        <w:rPr>
          <w:sz w:val="22"/>
          <w:szCs w:val="22"/>
        </w:rPr>
      </w:pPr>
    </w:p>
    <w:p w:rsidR="00003D17" w:rsidRPr="005F3509" w:rsidRDefault="00003D17" w:rsidP="005F39D6">
      <w:pPr>
        <w:ind w:left="360"/>
        <w:rPr>
          <w:sz w:val="22"/>
          <w:szCs w:val="22"/>
        </w:rPr>
      </w:pP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6"/>
        <w:gridCol w:w="6753"/>
      </w:tblGrid>
      <w:tr w:rsidR="00895393" w:rsidRPr="005F3509" w:rsidTr="00895393">
        <w:trPr>
          <w:trHeight w:val="145"/>
        </w:trPr>
        <w:tc>
          <w:tcPr>
            <w:tcW w:w="2687" w:type="pct"/>
            <w:tcBorders>
              <w:bottom w:val="single" w:sz="4" w:space="0" w:color="auto"/>
            </w:tcBorders>
            <w:shd w:val="clear" w:color="auto" w:fill="333399"/>
          </w:tcPr>
          <w:p w:rsidR="00D71B1C" w:rsidRPr="005F3509" w:rsidRDefault="00D71B1C" w:rsidP="005F3509">
            <w:pPr>
              <w:ind w:left="360"/>
              <w:jc w:val="center"/>
              <w:rPr>
                <w:b/>
                <w:smallCaps/>
                <w:color w:val="FFFFFF"/>
                <w:sz w:val="22"/>
                <w:szCs w:val="22"/>
              </w:rPr>
            </w:pPr>
            <w:r>
              <w:rPr>
                <w:b/>
                <w:smallCaps/>
                <w:color w:val="FFFFFF"/>
                <w:sz w:val="22"/>
              </w:rPr>
              <w:t>Член 31</w:t>
            </w:r>
          </w:p>
          <w:p w:rsidR="00BB080C" w:rsidRPr="005F3509" w:rsidRDefault="00E771B2" w:rsidP="005F3509">
            <w:pPr>
              <w:ind w:left="360"/>
              <w:jc w:val="center"/>
              <w:rPr>
                <w:b/>
                <w:smallCaps/>
                <w:color w:val="FFFFFF"/>
                <w:sz w:val="22"/>
                <w:szCs w:val="22"/>
              </w:rPr>
            </w:pPr>
            <w:r>
              <w:rPr>
                <w:b/>
                <w:smallCaps/>
                <w:color w:val="FFFFFF"/>
                <w:sz w:val="22"/>
              </w:rPr>
              <w:t>Помощи за обучение</w:t>
            </w:r>
          </w:p>
        </w:tc>
        <w:tc>
          <w:tcPr>
            <w:tcW w:w="2313" w:type="pct"/>
            <w:shd w:val="clear" w:color="auto" w:fill="333399"/>
          </w:tcPr>
          <w:p w:rsidR="00BB080C" w:rsidRPr="005F3509" w:rsidRDefault="00BB080C" w:rsidP="005F3509">
            <w:pPr>
              <w:jc w:val="center"/>
              <w:rPr>
                <w:b/>
                <w:smallCaps/>
                <w:color w:val="FFFFFF"/>
                <w:sz w:val="22"/>
                <w:szCs w:val="22"/>
              </w:rPr>
            </w:pPr>
            <w:r>
              <w:rPr>
                <w:b/>
                <w:smallCaps/>
                <w:color w:val="FFFFFF"/>
                <w:sz w:val="22"/>
              </w:rPr>
              <w:t>Проверка на съответствието (OK?)</w:t>
            </w:r>
          </w:p>
        </w:tc>
      </w:tr>
      <w:tr w:rsidR="005F3509" w:rsidRPr="005F3509" w:rsidTr="005F3509">
        <w:trPr>
          <w:trHeight w:val="414"/>
        </w:trPr>
        <w:tc>
          <w:tcPr>
            <w:tcW w:w="2687" w:type="pct"/>
            <w:shd w:val="clear" w:color="auto" w:fill="auto"/>
          </w:tcPr>
          <w:p w:rsidR="005F3509" w:rsidRPr="005F3509" w:rsidRDefault="005F3509" w:rsidP="005F3509">
            <w:pPr>
              <w:ind w:left="360"/>
              <w:jc w:val="both"/>
              <w:rPr>
                <w:sz w:val="22"/>
                <w:szCs w:val="22"/>
              </w:rPr>
            </w:pPr>
            <w:r>
              <w:rPr>
                <w:sz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tc>
        <w:tc>
          <w:tcPr>
            <w:tcW w:w="2313" w:type="pct"/>
            <w:shd w:val="clear" w:color="auto" w:fill="auto"/>
          </w:tcPr>
          <w:p w:rsidR="005F3509" w:rsidRPr="005F3509" w:rsidRDefault="005F3509" w:rsidP="005F3509">
            <w:pPr>
              <w:rPr>
                <w:sz w:val="22"/>
                <w:szCs w:val="22"/>
              </w:rPr>
            </w:pPr>
          </w:p>
        </w:tc>
      </w:tr>
      <w:tr w:rsidR="005F3509" w:rsidRPr="005F3509" w:rsidTr="005F3509">
        <w:trPr>
          <w:trHeight w:val="463"/>
        </w:trPr>
        <w:tc>
          <w:tcPr>
            <w:tcW w:w="2687" w:type="pct"/>
            <w:shd w:val="clear" w:color="auto" w:fill="auto"/>
          </w:tcPr>
          <w:p w:rsidR="005F3509" w:rsidRPr="005F3509" w:rsidRDefault="005F3509" w:rsidP="00B27337">
            <w:pPr>
              <w:numPr>
                <w:ilvl w:val="0"/>
                <w:numId w:val="10"/>
              </w:numPr>
              <w:jc w:val="both"/>
              <w:rPr>
                <w:sz w:val="22"/>
                <w:szCs w:val="22"/>
              </w:rPr>
            </w:pPr>
            <w:r>
              <w:rPr>
                <w:sz w:val="22"/>
              </w:rPr>
              <w:t xml:space="preserve">Помощи не се предоставят в случаите, в които обучението се провежда от предприятията с цел да спазят задължителните национални стандарти за обучение (параграф 2). </w:t>
            </w:r>
          </w:p>
        </w:tc>
        <w:tc>
          <w:tcPr>
            <w:tcW w:w="2313" w:type="pct"/>
            <w:shd w:val="clear" w:color="auto" w:fill="auto"/>
          </w:tcPr>
          <w:p w:rsidR="005F3509" w:rsidRPr="005F3509" w:rsidRDefault="005F3509" w:rsidP="005F3509">
            <w:pPr>
              <w:rPr>
                <w:sz w:val="22"/>
                <w:szCs w:val="22"/>
              </w:rPr>
            </w:pPr>
          </w:p>
        </w:tc>
      </w:tr>
      <w:tr w:rsidR="005F3509" w:rsidRPr="005F3509" w:rsidTr="00895393">
        <w:trPr>
          <w:trHeight w:val="850"/>
        </w:trPr>
        <w:tc>
          <w:tcPr>
            <w:tcW w:w="2687" w:type="pct"/>
            <w:shd w:val="clear" w:color="auto" w:fill="auto"/>
          </w:tcPr>
          <w:p w:rsidR="005F3509" w:rsidRPr="00D85AC3" w:rsidRDefault="005F3509" w:rsidP="00B27337">
            <w:pPr>
              <w:numPr>
                <w:ilvl w:val="0"/>
                <w:numId w:val="10"/>
              </w:numPr>
              <w:jc w:val="both"/>
              <w:rPr>
                <w:sz w:val="22"/>
                <w:szCs w:val="22"/>
              </w:rPr>
            </w:pPr>
            <w:r w:rsidRPr="00D85AC3">
              <w:rPr>
                <w:b/>
                <w:sz w:val="22"/>
                <w:szCs w:val="22"/>
              </w:rPr>
              <w:t>Допустими разходи</w:t>
            </w:r>
            <w:r w:rsidRPr="00D85AC3">
              <w:rPr>
                <w:sz w:val="22"/>
                <w:szCs w:val="22"/>
              </w:rPr>
              <w:t xml:space="preserve"> (параграф 3):</w:t>
            </w:r>
          </w:p>
          <w:p w:rsidR="005F3509" w:rsidRPr="005F3509" w:rsidRDefault="005F3509" w:rsidP="00B27337">
            <w:pPr>
              <w:numPr>
                <w:ilvl w:val="1"/>
                <w:numId w:val="13"/>
              </w:numPr>
              <w:tabs>
                <w:tab w:val="left" w:pos="886"/>
              </w:tabs>
              <w:ind w:left="885" w:hanging="426"/>
              <w:jc w:val="both"/>
              <w:rPr>
                <w:sz w:val="22"/>
                <w:szCs w:val="22"/>
              </w:rPr>
            </w:pPr>
            <w:r>
              <w:rPr>
                <w:sz w:val="22"/>
              </w:rPr>
              <w:t>разходи за персонал за обучаващите за часовете, през които обучаващите участват в обучението;</w:t>
            </w:r>
          </w:p>
          <w:p w:rsidR="005F3509" w:rsidRPr="005F3509" w:rsidRDefault="005F3509" w:rsidP="00B27337">
            <w:pPr>
              <w:numPr>
                <w:ilvl w:val="1"/>
                <w:numId w:val="13"/>
              </w:numPr>
              <w:tabs>
                <w:tab w:val="left" w:pos="886"/>
              </w:tabs>
              <w:ind w:left="885" w:hanging="426"/>
              <w:jc w:val="both"/>
              <w:rPr>
                <w:sz w:val="22"/>
                <w:szCs w:val="22"/>
              </w:rPr>
            </w:pPr>
            <w:r>
              <w:rPr>
                <w:sz w:val="22"/>
              </w:rPr>
              <w:t>оперативни разходи на обучаващите и обучаваните, които са пряко свързани с проекта за обучение, като пътни разноски, материали и консумативи, пряко свързани с проекта, амортизация на инструменти и оборудване, доколкото те се използват изключително за проекта за обучение. Разходите за настаняване не са допустими разходи с изключение на минималните необходими разходи за настаняването на обучаващите се, които са работещи с увреждания;</w:t>
            </w:r>
          </w:p>
          <w:p w:rsidR="005F3509" w:rsidRPr="005F3509" w:rsidRDefault="005F3509" w:rsidP="00B27337">
            <w:pPr>
              <w:numPr>
                <w:ilvl w:val="1"/>
                <w:numId w:val="13"/>
              </w:numPr>
              <w:tabs>
                <w:tab w:val="left" w:pos="886"/>
              </w:tabs>
              <w:ind w:left="885" w:hanging="426"/>
              <w:jc w:val="both"/>
              <w:rPr>
                <w:sz w:val="22"/>
                <w:szCs w:val="22"/>
              </w:rPr>
            </w:pPr>
            <w:r>
              <w:rPr>
                <w:sz w:val="22"/>
              </w:rPr>
              <w:t>разходи за консултантски услуги, свързани с проекта за обучение;</w:t>
            </w:r>
          </w:p>
          <w:p w:rsidR="005F3509" w:rsidRPr="005F3509" w:rsidRDefault="005F3509" w:rsidP="00B27337">
            <w:pPr>
              <w:numPr>
                <w:ilvl w:val="1"/>
                <w:numId w:val="13"/>
              </w:numPr>
              <w:tabs>
                <w:tab w:val="left" w:pos="886"/>
              </w:tabs>
              <w:ind w:left="885" w:hanging="426"/>
              <w:jc w:val="both"/>
              <w:rPr>
                <w:sz w:val="22"/>
                <w:szCs w:val="22"/>
              </w:rPr>
            </w:pPr>
            <w:r>
              <w:rPr>
                <w:sz w:val="22"/>
              </w:rPr>
              <w:t>разходи за персонал за обучаващите се и общи косвени разходи (административни разходи, наеми, режийни разходи) за часовете, през които обучаващите се участват в обучението.</w:t>
            </w:r>
          </w:p>
        </w:tc>
        <w:tc>
          <w:tcPr>
            <w:tcW w:w="2313" w:type="pct"/>
            <w:shd w:val="clear" w:color="auto" w:fill="auto"/>
          </w:tcPr>
          <w:p w:rsidR="005F3509" w:rsidRPr="005F3509" w:rsidRDefault="005F3509" w:rsidP="005F3509">
            <w:pPr>
              <w:rPr>
                <w:sz w:val="22"/>
                <w:szCs w:val="22"/>
              </w:rPr>
            </w:pPr>
          </w:p>
        </w:tc>
      </w:tr>
      <w:tr w:rsidR="005F3509" w:rsidRPr="005F3509" w:rsidTr="00895393">
        <w:trPr>
          <w:trHeight w:val="850"/>
        </w:trPr>
        <w:tc>
          <w:tcPr>
            <w:tcW w:w="2687" w:type="pct"/>
            <w:shd w:val="clear" w:color="auto" w:fill="auto"/>
          </w:tcPr>
          <w:p w:rsidR="005F3509" w:rsidRPr="00B45021" w:rsidRDefault="005F3509" w:rsidP="00B27337">
            <w:pPr>
              <w:numPr>
                <w:ilvl w:val="0"/>
                <w:numId w:val="10"/>
              </w:numPr>
              <w:jc w:val="both"/>
              <w:rPr>
                <w:sz w:val="22"/>
                <w:szCs w:val="22"/>
              </w:rPr>
            </w:pPr>
            <w:r w:rsidRPr="00B45021">
              <w:rPr>
                <w:b/>
                <w:sz w:val="22"/>
                <w:szCs w:val="22"/>
              </w:rPr>
              <w:t>Интензитет на помощта</w:t>
            </w:r>
            <w:r w:rsidRPr="00B45021">
              <w:rPr>
                <w:sz w:val="22"/>
                <w:szCs w:val="22"/>
              </w:rPr>
              <w:t xml:space="preserve">: </w:t>
            </w:r>
            <w:r w:rsidRPr="00B45021">
              <w:rPr>
                <w:b/>
                <w:sz w:val="22"/>
                <w:szCs w:val="22"/>
              </w:rPr>
              <w:t>не</w:t>
            </w:r>
            <w:r w:rsidRPr="00B45021">
              <w:rPr>
                <w:sz w:val="22"/>
                <w:szCs w:val="22"/>
              </w:rPr>
              <w:t xml:space="preserve"> надхвърля 50 % от допустимите разходи. Той може да бъде увеличен до не повече от 70 % от допустимите разходи при следните условия (параграф 4):</w:t>
            </w:r>
          </w:p>
          <w:p w:rsidR="005F3509" w:rsidRPr="005F3509" w:rsidRDefault="005F3509" w:rsidP="00B27337">
            <w:pPr>
              <w:numPr>
                <w:ilvl w:val="1"/>
                <w:numId w:val="14"/>
              </w:numPr>
              <w:tabs>
                <w:tab w:val="left" w:pos="885"/>
              </w:tabs>
              <w:ind w:left="885" w:hanging="426"/>
              <w:jc w:val="both"/>
              <w:rPr>
                <w:sz w:val="22"/>
                <w:szCs w:val="22"/>
              </w:rPr>
            </w:pPr>
            <w:r>
              <w:rPr>
                <w:sz w:val="22"/>
              </w:rPr>
              <w:t>с 10 процентни пункта, ако обучението се предлага на работещи с увреждания или работещи в неравностойно положение;</w:t>
            </w:r>
          </w:p>
          <w:p w:rsidR="005F3509" w:rsidRPr="005F3509" w:rsidRDefault="005F3509" w:rsidP="00B27337">
            <w:pPr>
              <w:numPr>
                <w:ilvl w:val="1"/>
                <w:numId w:val="14"/>
              </w:numPr>
              <w:tabs>
                <w:tab w:val="left" w:pos="885"/>
              </w:tabs>
              <w:ind w:left="885" w:hanging="426"/>
              <w:jc w:val="both"/>
              <w:rPr>
                <w:sz w:val="22"/>
                <w:szCs w:val="22"/>
              </w:rPr>
            </w:pPr>
            <w:r>
              <w:rPr>
                <w:sz w:val="22"/>
              </w:rPr>
              <w:t xml:space="preserve">с 10 процентни пункта, ако помощта се предоставя на средни </w:t>
            </w:r>
            <w:r>
              <w:rPr>
                <w:sz w:val="22"/>
              </w:rPr>
              <w:lastRenderedPageBreak/>
              <w:t>предприятия, и с 20 процентни пункта, ако помощта се предоставя на малки предприятия.</w:t>
            </w:r>
          </w:p>
        </w:tc>
        <w:tc>
          <w:tcPr>
            <w:tcW w:w="2313" w:type="pct"/>
            <w:shd w:val="clear" w:color="auto" w:fill="auto"/>
          </w:tcPr>
          <w:p w:rsidR="005F3509" w:rsidRPr="005F3509" w:rsidRDefault="005F3509" w:rsidP="005F3509">
            <w:pPr>
              <w:rPr>
                <w:sz w:val="22"/>
                <w:szCs w:val="22"/>
              </w:rPr>
            </w:pPr>
          </w:p>
        </w:tc>
      </w:tr>
      <w:tr w:rsidR="00895393" w:rsidRPr="005F3509" w:rsidTr="00895393">
        <w:trPr>
          <w:trHeight w:val="850"/>
        </w:trPr>
        <w:tc>
          <w:tcPr>
            <w:tcW w:w="2687" w:type="pct"/>
            <w:shd w:val="clear" w:color="auto" w:fill="auto"/>
          </w:tcPr>
          <w:p w:rsidR="005F3509" w:rsidRPr="005F3509" w:rsidRDefault="005F3509" w:rsidP="00B27337">
            <w:pPr>
              <w:numPr>
                <w:ilvl w:val="0"/>
                <w:numId w:val="10"/>
              </w:numPr>
              <w:jc w:val="both"/>
              <w:rPr>
                <w:sz w:val="22"/>
                <w:szCs w:val="22"/>
              </w:rPr>
            </w:pPr>
            <w:r>
              <w:rPr>
                <w:sz w:val="22"/>
              </w:rPr>
              <w:lastRenderedPageBreak/>
              <w:t xml:space="preserve">Когато помощите се предоставят в </w:t>
            </w:r>
            <w:r>
              <w:rPr>
                <w:b/>
                <w:sz w:val="22"/>
              </w:rPr>
              <w:t>сектора на морския транспорт</w:t>
            </w:r>
            <w:r>
              <w:rPr>
                <w:sz w:val="22"/>
              </w:rPr>
              <w:t>, интензитетът им може да бъде увеличен до 100 % от допустимите разходи, ако са изпълнени следните условия (параграф 5):</w:t>
            </w:r>
          </w:p>
          <w:p w:rsidR="005F3509" w:rsidRPr="005F3509" w:rsidRDefault="005F3509" w:rsidP="00B27337">
            <w:pPr>
              <w:numPr>
                <w:ilvl w:val="0"/>
                <w:numId w:val="15"/>
              </w:numPr>
              <w:tabs>
                <w:tab w:val="left" w:pos="886"/>
              </w:tabs>
              <w:autoSpaceDE w:val="0"/>
              <w:autoSpaceDN w:val="0"/>
              <w:adjustRightInd w:val="0"/>
              <w:ind w:left="885" w:hanging="426"/>
              <w:jc w:val="both"/>
              <w:rPr>
                <w:sz w:val="22"/>
                <w:szCs w:val="22"/>
              </w:rPr>
            </w:pPr>
            <w:r>
              <w:rPr>
                <w:sz w:val="22"/>
              </w:rPr>
              <w:t>обучаващите се не са активни членове на екипажа, а част от извънщатния състав на борда на кораба; и</w:t>
            </w:r>
          </w:p>
          <w:p w:rsidR="00BB080C" w:rsidRPr="005F3509" w:rsidRDefault="005F3509" w:rsidP="00B27337">
            <w:pPr>
              <w:numPr>
                <w:ilvl w:val="0"/>
                <w:numId w:val="15"/>
              </w:numPr>
              <w:tabs>
                <w:tab w:val="left" w:pos="886"/>
              </w:tabs>
              <w:autoSpaceDE w:val="0"/>
              <w:autoSpaceDN w:val="0"/>
              <w:adjustRightInd w:val="0"/>
              <w:ind w:left="885" w:hanging="426"/>
              <w:jc w:val="both"/>
              <w:rPr>
                <w:sz w:val="22"/>
                <w:szCs w:val="22"/>
              </w:rPr>
            </w:pPr>
            <w:r>
              <w:rPr>
                <w:sz w:val="22"/>
              </w:rPr>
              <w:t>обучението се провежда на борда на кораби, вписани в регистрите на Съюза.</w:t>
            </w:r>
          </w:p>
        </w:tc>
        <w:tc>
          <w:tcPr>
            <w:tcW w:w="2313" w:type="pct"/>
            <w:shd w:val="clear" w:color="auto" w:fill="auto"/>
          </w:tcPr>
          <w:p w:rsidR="00BB080C" w:rsidRPr="005F3509" w:rsidRDefault="00BB080C" w:rsidP="005F3509">
            <w:pPr>
              <w:rPr>
                <w:sz w:val="22"/>
                <w:szCs w:val="22"/>
              </w:rPr>
            </w:pPr>
          </w:p>
        </w:tc>
      </w:tr>
    </w:tbl>
    <w:p w:rsidR="00E002A5" w:rsidRPr="005F3509" w:rsidRDefault="00E002A5" w:rsidP="005F3509">
      <w:pPr>
        <w:rPr>
          <w:sz w:val="22"/>
          <w:szCs w:val="22"/>
        </w:rPr>
      </w:pPr>
    </w:p>
    <w:p w:rsidR="009F52DA" w:rsidRPr="005F3509" w:rsidRDefault="009F52DA" w:rsidP="00126864">
      <w:pPr>
        <w:rPr>
          <w:b/>
          <w:sz w:val="22"/>
          <w:szCs w:val="22"/>
          <w:u w:val="single"/>
        </w:rPr>
      </w:pPr>
    </w:p>
    <w:sectPr w:rsidR="009F52DA" w:rsidRPr="005F3509" w:rsidSect="00AC06DD">
      <w:headerReference w:type="even" r:id="rId9"/>
      <w:headerReference w:type="default" r:id="rId10"/>
      <w:footerReference w:type="even" r:id="rId11"/>
      <w:footerReference w:type="default" r:id="rId12"/>
      <w:headerReference w:type="first" r:id="rId13"/>
      <w:footerReference w:type="first" r:id="rId14"/>
      <w:pgSz w:w="15840" w:h="12240" w:orient="landscape"/>
      <w:pgMar w:top="1417" w:right="81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209" w:rsidRDefault="00BF4209">
      <w:r>
        <w:separator/>
      </w:r>
    </w:p>
  </w:endnote>
  <w:endnote w:type="continuationSeparator" w:id="0">
    <w:p w:rsidR="00BF4209" w:rsidRDefault="00BF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EUAlbertina-Regu">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DD" w:rsidRDefault="00AC0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DD" w:rsidRDefault="00AC06DD" w:rsidP="00AC06DD">
    <w:pPr>
      <w:pStyle w:val="Footer"/>
      <w:jc w:val="right"/>
    </w:pPr>
    <w:r>
      <w:fldChar w:fldCharType="begin"/>
    </w:r>
    <w:r>
      <w:instrText xml:space="preserve"> PAGE   \* MERGEFORMAT </w:instrText>
    </w:r>
    <w:r>
      <w:fldChar w:fldCharType="separate"/>
    </w:r>
    <w:r w:rsidR="007253BA">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DD" w:rsidRPr="00AC06DD" w:rsidRDefault="00AC06DD">
    <w:pPr>
      <w:pStyle w:val="Footer"/>
    </w:pPr>
    <w:r>
      <w:t>юни 2015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209" w:rsidRDefault="00BF4209">
      <w:r>
        <w:separator/>
      </w:r>
    </w:p>
  </w:footnote>
  <w:footnote w:type="continuationSeparator" w:id="0">
    <w:p w:rsidR="00BF4209" w:rsidRDefault="00BF4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DD" w:rsidRDefault="00AC0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82" w:rsidRDefault="007C4D82" w:rsidP="007C4D82">
    <w:pPr>
      <w:autoSpaceDE w:val="0"/>
      <w:autoSpaceDN w:val="0"/>
      <w:ind w:right="-567"/>
      <w:jc w:val="both"/>
      <w:rPr>
        <w:b/>
        <w:bCs/>
        <w:noProof/>
        <w:snapToGrid w:val="0"/>
        <w:color w:val="000000"/>
        <w:u w:val="single"/>
      </w:rPr>
    </w:pPr>
    <w:r>
      <w:rPr>
        <w:b/>
        <w:noProof/>
        <w:snapToGrid w:val="0"/>
        <w:color w:val="000000"/>
        <w:u w:val="single"/>
      </w:rPr>
      <w:t>ДЕКЛАРАЦИЯ ЗА ОТКАЗ ОТ ОТГОВОРНОСТ</w:t>
    </w:r>
  </w:p>
  <w:p w:rsidR="007C4D82" w:rsidRDefault="007C4D82" w:rsidP="007C4D82">
    <w:pPr>
      <w:autoSpaceDE w:val="0"/>
      <w:autoSpaceDN w:val="0"/>
      <w:ind w:right="-567"/>
      <w:jc w:val="both"/>
      <w:rPr>
        <w:b/>
        <w:bCs/>
        <w:noProof/>
        <w:snapToGrid w:val="0"/>
        <w:color w:val="000000"/>
        <w:u w:val="single"/>
      </w:rPr>
    </w:pPr>
  </w:p>
  <w:p w:rsidR="007C4D82" w:rsidRDefault="007C4D82" w:rsidP="007C4D82">
    <w:pPr>
      <w:ind w:left="720"/>
      <w:jc w:val="both"/>
      <w:rPr>
        <w:rFonts w:cs="Calibri"/>
        <w:b/>
        <w:i/>
      </w:rPr>
    </w:pPr>
    <w:r>
      <w:rPr>
        <w:b/>
        <w:i/>
      </w:rPr>
      <w:t>Настоящият контролен лист не е официален документ на Европейската комисия. Макар че може да представлява полезен допълнителен инструмент за прилагането на Регламент № 651/2014 на Комисията от 17 юни 2014 г. (ОРГО), той не замества този регламент, пълното спазване на чиито разпоредби е единственият начин за ползване на предвиденото в него освобождаване от задължението за уведомяване.</w:t>
    </w:r>
  </w:p>
  <w:p w:rsidR="001A5893" w:rsidRDefault="001A58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DD" w:rsidRDefault="00AC06DD" w:rsidP="00AC06DD">
    <w:pPr>
      <w:autoSpaceDE w:val="0"/>
      <w:autoSpaceDN w:val="0"/>
      <w:ind w:right="-567"/>
      <w:jc w:val="both"/>
      <w:rPr>
        <w:b/>
        <w:bCs/>
        <w:noProof/>
        <w:snapToGrid w:val="0"/>
        <w:color w:val="000000"/>
        <w:u w:val="single"/>
      </w:rPr>
    </w:pPr>
    <w:r>
      <w:rPr>
        <w:b/>
        <w:noProof/>
        <w:snapToGrid w:val="0"/>
        <w:color w:val="000000"/>
        <w:u w:val="single"/>
      </w:rPr>
      <w:t>ДЕКЛАРАЦИЯ ЗА ОТКАЗ ОТ ОТГОВОРНОСТ</w:t>
    </w:r>
  </w:p>
  <w:p w:rsidR="00AC06DD" w:rsidRDefault="00AC06DD" w:rsidP="00AC06DD">
    <w:pPr>
      <w:autoSpaceDE w:val="0"/>
      <w:autoSpaceDN w:val="0"/>
      <w:ind w:right="-567"/>
      <w:jc w:val="both"/>
      <w:rPr>
        <w:b/>
        <w:bCs/>
        <w:noProof/>
        <w:snapToGrid w:val="0"/>
        <w:color w:val="000000"/>
        <w:u w:val="single"/>
      </w:rPr>
    </w:pPr>
  </w:p>
  <w:p w:rsidR="00AC06DD" w:rsidRDefault="00AC06DD" w:rsidP="00AC06DD">
    <w:pPr>
      <w:ind w:left="720"/>
      <w:jc w:val="both"/>
      <w:rPr>
        <w:rFonts w:cs="Calibri"/>
        <w:b/>
        <w:i/>
      </w:rPr>
    </w:pPr>
    <w:r>
      <w:rPr>
        <w:b/>
        <w:i/>
      </w:rPr>
      <w:t>Настоящият контролен лист не е официален документ на Европейската комисия. Макар че може да представлява полезен допълнителен инструмент за прилагането на Регламент № 651/2014 на Комисията от 17 юни 2014 г. (ОРГО), той не замества този регламент, пълното спазване на чиито разпоредби е единственият начин за ползване на предвиденото в него освобождаване от задължението за уведомяване.</w:t>
    </w:r>
  </w:p>
  <w:p w:rsidR="00AC06DD" w:rsidRDefault="00AC06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66E"/>
    <w:multiLevelType w:val="hybridMultilevel"/>
    <w:tmpl w:val="95E2A0A0"/>
    <w:lvl w:ilvl="0" w:tplc="531A62E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0DB62E5"/>
    <w:multiLevelType w:val="hybridMultilevel"/>
    <w:tmpl w:val="A720E3AA"/>
    <w:lvl w:ilvl="0" w:tplc="08090017">
      <w:start w:val="1"/>
      <w:numFmt w:val="lowerLetter"/>
      <w:lvlText w:val="%1)"/>
      <w:lvlJc w:val="left"/>
      <w:pPr>
        <w:ind w:left="720" w:hanging="360"/>
      </w:pPr>
    </w:lvl>
    <w:lvl w:ilvl="1" w:tplc="2954F7A4">
      <w:start w:val="1"/>
      <mc:AlternateContent>
        <mc:Choice Requires="w14">
          <w:numFmt w:val="custom" w:format="а, й, к, ..."/>
        </mc:Choice>
        <mc:Fallback>
          <w:numFmt w:val="decimal"/>
        </mc:Fallback>
      </mc:AlternateContent>
      <w:lvlText w:val="%2)"/>
      <w:lvlJc w:val="left"/>
      <w:pPr>
        <w:ind w:left="1440" w:hanging="360"/>
      </w:pPr>
      <w:rPr>
        <w:rFonts w:hint="default"/>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9760C0"/>
    <w:multiLevelType w:val="hybridMultilevel"/>
    <w:tmpl w:val="7CFE7B24"/>
    <w:lvl w:ilvl="0" w:tplc="2954F7A4">
      <w:start w:val="1"/>
      <mc:AlternateContent>
        <mc:Choice Requires="w14">
          <w:numFmt w:val="custom" w:format="а, й, к, ..."/>
        </mc:Choice>
        <mc:Fallback>
          <w:numFmt w:val="decimal"/>
        </mc:Fallback>
      </mc:AlternateContent>
      <w:lvlText w:val="%1)"/>
      <w:lvlJc w:val="left"/>
      <w:pPr>
        <w:ind w:left="720" w:hanging="360"/>
      </w:pPr>
      <w:rPr>
        <w:rFonts w:hint="default"/>
        <w:sz w:val="22"/>
      </w:rPr>
    </w:lvl>
    <w:lvl w:ilvl="1" w:tplc="D5D04A2A">
      <w:start w:val="1"/>
      <w:numFmt w:val="lowerLetter"/>
      <w:lvlText w:val="(%2)"/>
      <w:lvlJc w:val="left"/>
      <w:pPr>
        <w:ind w:left="1485" w:hanging="4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BF5078"/>
    <w:multiLevelType w:val="hybridMultilevel"/>
    <w:tmpl w:val="6EBA58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5AE7182"/>
    <w:multiLevelType w:val="hybridMultilevel"/>
    <w:tmpl w:val="0ACC9666"/>
    <w:lvl w:ilvl="0" w:tplc="08090019">
      <w:start w:val="1"/>
      <w:numFmt w:val="lowerLetter"/>
      <w:lvlText w:val="%1."/>
      <w:lvlJc w:val="left"/>
      <w:pPr>
        <w:ind w:left="1080" w:hanging="360"/>
      </w:pPr>
    </w:lvl>
    <w:lvl w:ilvl="1" w:tplc="2954F7A4">
      <w:start w:val="1"/>
      <mc:AlternateContent>
        <mc:Choice Requires="w14">
          <w:numFmt w:val="custom" w:format="а, й, к, ..."/>
        </mc:Choice>
        <mc:Fallback>
          <w:numFmt w:val="decimal"/>
        </mc:Fallback>
      </mc:AlternateContent>
      <w:lvlText w:val="%2)"/>
      <w:lvlJc w:val="left"/>
      <w:pPr>
        <w:ind w:left="1800" w:hanging="360"/>
      </w:pPr>
      <w:rPr>
        <w:rFonts w:hint="default"/>
        <w:sz w:val="22"/>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9D23775"/>
    <w:multiLevelType w:val="hybridMultilevel"/>
    <w:tmpl w:val="D6842B94"/>
    <w:lvl w:ilvl="0" w:tplc="2954F7A4">
      <w:start w:val="1"/>
      <mc:AlternateContent>
        <mc:Choice Requires="w14">
          <w:numFmt w:val="custom" w:format="а, й, к, ..."/>
        </mc:Choice>
        <mc:Fallback>
          <w:numFmt w:val="decimal"/>
        </mc:Fallback>
      </mc:AlternateContent>
      <w:lvlText w:val="%1)"/>
      <w:lvlJc w:val="left"/>
      <w:pPr>
        <w:ind w:left="720" w:hanging="360"/>
      </w:pPr>
      <w:rPr>
        <w:rFonts w:hint="default"/>
        <w:sz w:val="22"/>
      </w:rPr>
    </w:lvl>
    <w:lvl w:ilvl="1" w:tplc="0FD24D0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4656B7"/>
    <w:multiLevelType w:val="hybridMultilevel"/>
    <w:tmpl w:val="A2AC4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A466E07"/>
    <w:multiLevelType w:val="hybridMultilevel"/>
    <w:tmpl w:val="9C08836C"/>
    <w:lvl w:ilvl="0" w:tplc="08090019">
      <w:start w:val="1"/>
      <w:numFmt w:val="lowerLetter"/>
      <w:lvlText w:val="%1."/>
      <w:lvlJc w:val="left"/>
      <w:pPr>
        <w:ind w:left="1080" w:hanging="360"/>
      </w:pPr>
    </w:lvl>
    <w:lvl w:ilvl="1" w:tplc="2954F7A4">
      <w:start w:val="1"/>
      <mc:AlternateContent>
        <mc:Choice Requires="w14">
          <w:numFmt w:val="custom" w:format="а, й, к, ..."/>
        </mc:Choice>
        <mc:Fallback>
          <w:numFmt w:val="decimal"/>
        </mc:Fallback>
      </mc:AlternateContent>
      <w:lvlText w:val="%2)"/>
      <w:lvlJc w:val="left"/>
      <w:pPr>
        <w:ind w:left="1800" w:hanging="360"/>
      </w:pPr>
      <w:rPr>
        <w:rFonts w:hint="default"/>
        <w:sz w:val="22"/>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C7F4D52"/>
    <w:multiLevelType w:val="hybridMultilevel"/>
    <w:tmpl w:val="2C10C468"/>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420C27"/>
    <w:multiLevelType w:val="hybridMultilevel"/>
    <w:tmpl w:val="B5B6B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2FF0D20"/>
    <w:multiLevelType w:val="hybridMultilevel"/>
    <w:tmpl w:val="AB8A7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93D12C9"/>
    <w:multiLevelType w:val="hybridMultilevel"/>
    <w:tmpl w:val="9704F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A09397E"/>
    <w:multiLevelType w:val="hybridMultilevel"/>
    <w:tmpl w:val="B98EF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F8C25C8"/>
    <w:multiLevelType w:val="hybridMultilevel"/>
    <w:tmpl w:val="2038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126EAF"/>
    <w:multiLevelType w:val="hybridMultilevel"/>
    <w:tmpl w:val="F5B49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3197402"/>
    <w:multiLevelType w:val="hybridMultilevel"/>
    <w:tmpl w:val="A664D890"/>
    <w:lvl w:ilvl="0" w:tplc="2954F7A4">
      <w:start w:val="1"/>
      <mc:AlternateContent>
        <mc:Choice Requires="w14">
          <w:numFmt w:val="custom" w:format="а, й, к, ..."/>
        </mc:Choice>
        <mc:Fallback>
          <w:numFmt w:val="decimal"/>
        </mc:Fallback>
      </mc:AlternateContent>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F064B4"/>
    <w:multiLevelType w:val="hybridMultilevel"/>
    <w:tmpl w:val="26945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5447C67"/>
    <w:multiLevelType w:val="hybridMultilevel"/>
    <w:tmpl w:val="E51E4E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2"/>
  </w:num>
  <w:num w:numId="3">
    <w:abstractNumId w:val="6"/>
  </w:num>
  <w:num w:numId="4">
    <w:abstractNumId w:val="3"/>
  </w:num>
  <w:num w:numId="5">
    <w:abstractNumId w:val="14"/>
  </w:num>
  <w:num w:numId="6">
    <w:abstractNumId w:val="0"/>
  </w:num>
  <w:num w:numId="7">
    <w:abstractNumId w:val="10"/>
  </w:num>
  <w:num w:numId="8">
    <w:abstractNumId w:val="2"/>
  </w:num>
  <w:num w:numId="9">
    <w:abstractNumId w:val="5"/>
  </w:num>
  <w:num w:numId="10">
    <w:abstractNumId w:val="9"/>
  </w:num>
  <w:num w:numId="11">
    <w:abstractNumId w:val="11"/>
  </w:num>
  <w:num w:numId="12">
    <w:abstractNumId w:val="17"/>
  </w:num>
  <w:num w:numId="13">
    <w:abstractNumId w:val="4"/>
  </w:num>
  <w:num w:numId="14">
    <w:abstractNumId w:val="7"/>
  </w:num>
  <w:num w:numId="15">
    <w:abstractNumId w:val="15"/>
  </w:num>
  <w:num w:numId="16">
    <w:abstractNumId w:val="13"/>
  </w:num>
  <w:num w:numId="17">
    <w:abstractNumId w:val="1"/>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D461F"/>
    <w:rsid w:val="00003443"/>
    <w:rsid w:val="00003D17"/>
    <w:rsid w:val="00007B8B"/>
    <w:rsid w:val="000307FC"/>
    <w:rsid w:val="000372A4"/>
    <w:rsid w:val="0004275D"/>
    <w:rsid w:val="00045763"/>
    <w:rsid w:val="00045C91"/>
    <w:rsid w:val="00047DB1"/>
    <w:rsid w:val="000550A4"/>
    <w:rsid w:val="00066155"/>
    <w:rsid w:val="000729AA"/>
    <w:rsid w:val="0007495E"/>
    <w:rsid w:val="00085359"/>
    <w:rsid w:val="000934FB"/>
    <w:rsid w:val="000969AA"/>
    <w:rsid w:val="0009762A"/>
    <w:rsid w:val="000A0383"/>
    <w:rsid w:val="000A13EE"/>
    <w:rsid w:val="000A1696"/>
    <w:rsid w:val="000A19E8"/>
    <w:rsid w:val="000A2636"/>
    <w:rsid w:val="000A4AB7"/>
    <w:rsid w:val="000B0C62"/>
    <w:rsid w:val="000C51C2"/>
    <w:rsid w:val="000E10AB"/>
    <w:rsid w:val="000E4DAE"/>
    <w:rsid w:val="000F1FCD"/>
    <w:rsid w:val="000F2C08"/>
    <w:rsid w:val="000F75EF"/>
    <w:rsid w:val="00107485"/>
    <w:rsid w:val="001141D8"/>
    <w:rsid w:val="0012665D"/>
    <w:rsid w:val="00126864"/>
    <w:rsid w:val="0013421A"/>
    <w:rsid w:val="0013556A"/>
    <w:rsid w:val="00137523"/>
    <w:rsid w:val="00176DBE"/>
    <w:rsid w:val="00180EAA"/>
    <w:rsid w:val="001824EE"/>
    <w:rsid w:val="00193344"/>
    <w:rsid w:val="001A5893"/>
    <w:rsid w:val="001A72F3"/>
    <w:rsid w:val="001B05F1"/>
    <w:rsid w:val="001C0C3A"/>
    <w:rsid w:val="001D0FD1"/>
    <w:rsid w:val="001F48D0"/>
    <w:rsid w:val="001F4FF1"/>
    <w:rsid w:val="001F5DD4"/>
    <w:rsid w:val="00203338"/>
    <w:rsid w:val="0020708C"/>
    <w:rsid w:val="00216B49"/>
    <w:rsid w:val="00221B84"/>
    <w:rsid w:val="00222F1C"/>
    <w:rsid w:val="00225371"/>
    <w:rsid w:val="00230B60"/>
    <w:rsid w:val="00231553"/>
    <w:rsid w:val="002427AF"/>
    <w:rsid w:val="002470A3"/>
    <w:rsid w:val="00275069"/>
    <w:rsid w:val="00291068"/>
    <w:rsid w:val="002920BD"/>
    <w:rsid w:val="00293736"/>
    <w:rsid w:val="002B3E57"/>
    <w:rsid w:val="002B4358"/>
    <w:rsid w:val="002B4CA9"/>
    <w:rsid w:val="002B54DF"/>
    <w:rsid w:val="002D00A7"/>
    <w:rsid w:val="002D16C9"/>
    <w:rsid w:val="002D4CC4"/>
    <w:rsid w:val="002E3BB9"/>
    <w:rsid w:val="00307511"/>
    <w:rsid w:val="00311BDC"/>
    <w:rsid w:val="00321646"/>
    <w:rsid w:val="00335128"/>
    <w:rsid w:val="00336EAF"/>
    <w:rsid w:val="00337965"/>
    <w:rsid w:val="00341679"/>
    <w:rsid w:val="00356870"/>
    <w:rsid w:val="0037514B"/>
    <w:rsid w:val="003756E8"/>
    <w:rsid w:val="0037615F"/>
    <w:rsid w:val="00392A9D"/>
    <w:rsid w:val="00397EC8"/>
    <w:rsid w:val="003A34CB"/>
    <w:rsid w:val="003A70AE"/>
    <w:rsid w:val="003B745C"/>
    <w:rsid w:val="003D41BA"/>
    <w:rsid w:val="003D4B60"/>
    <w:rsid w:val="003E0049"/>
    <w:rsid w:val="003E00A3"/>
    <w:rsid w:val="003E4E9C"/>
    <w:rsid w:val="003E4E9D"/>
    <w:rsid w:val="003E786F"/>
    <w:rsid w:val="003F7596"/>
    <w:rsid w:val="00400566"/>
    <w:rsid w:val="00413394"/>
    <w:rsid w:val="00421231"/>
    <w:rsid w:val="0042377F"/>
    <w:rsid w:val="00424808"/>
    <w:rsid w:val="0043390B"/>
    <w:rsid w:val="004412F5"/>
    <w:rsid w:val="004452B6"/>
    <w:rsid w:val="0045170D"/>
    <w:rsid w:val="004618BB"/>
    <w:rsid w:val="00461A7C"/>
    <w:rsid w:val="004745B1"/>
    <w:rsid w:val="00481FD8"/>
    <w:rsid w:val="004B7EF7"/>
    <w:rsid w:val="004D0D76"/>
    <w:rsid w:val="004F201B"/>
    <w:rsid w:val="004F6330"/>
    <w:rsid w:val="00502676"/>
    <w:rsid w:val="00513516"/>
    <w:rsid w:val="00531692"/>
    <w:rsid w:val="00534552"/>
    <w:rsid w:val="005442C1"/>
    <w:rsid w:val="00554D95"/>
    <w:rsid w:val="005563ED"/>
    <w:rsid w:val="00557283"/>
    <w:rsid w:val="00563A8F"/>
    <w:rsid w:val="00571298"/>
    <w:rsid w:val="005875CA"/>
    <w:rsid w:val="00591D06"/>
    <w:rsid w:val="00593387"/>
    <w:rsid w:val="005B598E"/>
    <w:rsid w:val="005E05CA"/>
    <w:rsid w:val="005E23C6"/>
    <w:rsid w:val="005E2FFA"/>
    <w:rsid w:val="005E7699"/>
    <w:rsid w:val="005F14EC"/>
    <w:rsid w:val="005F3509"/>
    <w:rsid w:val="005F39D6"/>
    <w:rsid w:val="00606CC2"/>
    <w:rsid w:val="0061207C"/>
    <w:rsid w:val="0061345C"/>
    <w:rsid w:val="006149DC"/>
    <w:rsid w:val="006155AB"/>
    <w:rsid w:val="0061624B"/>
    <w:rsid w:val="00620255"/>
    <w:rsid w:val="00624BDF"/>
    <w:rsid w:val="00626599"/>
    <w:rsid w:val="0063569E"/>
    <w:rsid w:val="006501B8"/>
    <w:rsid w:val="00654CC5"/>
    <w:rsid w:val="00660ED7"/>
    <w:rsid w:val="00663D78"/>
    <w:rsid w:val="0066573A"/>
    <w:rsid w:val="0067010A"/>
    <w:rsid w:val="00674F49"/>
    <w:rsid w:val="00682CD5"/>
    <w:rsid w:val="006C6F39"/>
    <w:rsid w:val="006D137E"/>
    <w:rsid w:val="006D612B"/>
    <w:rsid w:val="006E1F72"/>
    <w:rsid w:val="006F7715"/>
    <w:rsid w:val="0070535F"/>
    <w:rsid w:val="007253BA"/>
    <w:rsid w:val="00761D21"/>
    <w:rsid w:val="00773F1E"/>
    <w:rsid w:val="00783CA1"/>
    <w:rsid w:val="0079018B"/>
    <w:rsid w:val="00797AB0"/>
    <w:rsid w:val="007A2C05"/>
    <w:rsid w:val="007A6557"/>
    <w:rsid w:val="007B0B68"/>
    <w:rsid w:val="007B6E14"/>
    <w:rsid w:val="007C4733"/>
    <w:rsid w:val="007C4D82"/>
    <w:rsid w:val="007D461F"/>
    <w:rsid w:val="007D6D47"/>
    <w:rsid w:val="007E1A2F"/>
    <w:rsid w:val="007F0429"/>
    <w:rsid w:val="007F572A"/>
    <w:rsid w:val="00801247"/>
    <w:rsid w:val="00811AB1"/>
    <w:rsid w:val="008178D3"/>
    <w:rsid w:val="00832DAB"/>
    <w:rsid w:val="008476F4"/>
    <w:rsid w:val="00852C3B"/>
    <w:rsid w:val="00856814"/>
    <w:rsid w:val="00867005"/>
    <w:rsid w:val="00881C21"/>
    <w:rsid w:val="00883DFF"/>
    <w:rsid w:val="00885BB0"/>
    <w:rsid w:val="00895393"/>
    <w:rsid w:val="008A3AC1"/>
    <w:rsid w:val="008A3D6A"/>
    <w:rsid w:val="008B33CE"/>
    <w:rsid w:val="008C122E"/>
    <w:rsid w:val="008C1495"/>
    <w:rsid w:val="008C5BB2"/>
    <w:rsid w:val="008D3D7C"/>
    <w:rsid w:val="008F28E4"/>
    <w:rsid w:val="008F3609"/>
    <w:rsid w:val="008F7532"/>
    <w:rsid w:val="00920585"/>
    <w:rsid w:val="0092466F"/>
    <w:rsid w:val="00931208"/>
    <w:rsid w:val="00947544"/>
    <w:rsid w:val="0095164F"/>
    <w:rsid w:val="0095335C"/>
    <w:rsid w:val="00960792"/>
    <w:rsid w:val="00977A9A"/>
    <w:rsid w:val="00981AB9"/>
    <w:rsid w:val="00986F2B"/>
    <w:rsid w:val="00991733"/>
    <w:rsid w:val="00994B7C"/>
    <w:rsid w:val="00995DBB"/>
    <w:rsid w:val="00997AA0"/>
    <w:rsid w:val="009A29CE"/>
    <w:rsid w:val="009B0CDD"/>
    <w:rsid w:val="009C13FD"/>
    <w:rsid w:val="009E14D9"/>
    <w:rsid w:val="009F0902"/>
    <w:rsid w:val="009F52DA"/>
    <w:rsid w:val="00A03F8E"/>
    <w:rsid w:val="00A21C2F"/>
    <w:rsid w:val="00A2428C"/>
    <w:rsid w:val="00A24976"/>
    <w:rsid w:val="00A32138"/>
    <w:rsid w:val="00A404CF"/>
    <w:rsid w:val="00A415C5"/>
    <w:rsid w:val="00A434A3"/>
    <w:rsid w:val="00A43E85"/>
    <w:rsid w:val="00A45FCF"/>
    <w:rsid w:val="00A46329"/>
    <w:rsid w:val="00A46614"/>
    <w:rsid w:val="00A63647"/>
    <w:rsid w:val="00A6604D"/>
    <w:rsid w:val="00A67375"/>
    <w:rsid w:val="00A8428A"/>
    <w:rsid w:val="00A8762D"/>
    <w:rsid w:val="00AA37CE"/>
    <w:rsid w:val="00AA6116"/>
    <w:rsid w:val="00AA6EED"/>
    <w:rsid w:val="00AA779E"/>
    <w:rsid w:val="00AB1D4E"/>
    <w:rsid w:val="00AB2264"/>
    <w:rsid w:val="00AB4F02"/>
    <w:rsid w:val="00AB6771"/>
    <w:rsid w:val="00AB7FD4"/>
    <w:rsid w:val="00AC06DD"/>
    <w:rsid w:val="00AC1C17"/>
    <w:rsid w:val="00AC3421"/>
    <w:rsid w:val="00AC39C3"/>
    <w:rsid w:val="00AC4476"/>
    <w:rsid w:val="00AD2B50"/>
    <w:rsid w:val="00AE1488"/>
    <w:rsid w:val="00AE56FC"/>
    <w:rsid w:val="00B106C8"/>
    <w:rsid w:val="00B220A8"/>
    <w:rsid w:val="00B27337"/>
    <w:rsid w:val="00B4159B"/>
    <w:rsid w:val="00B45021"/>
    <w:rsid w:val="00B46C58"/>
    <w:rsid w:val="00B50B49"/>
    <w:rsid w:val="00B55BDD"/>
    <w:rsid w:val="00B70C80"/>
    <w:rsid w:val="00B87F87"/>
    <w:rsid w:val="00B91ABE"/>
    <w:rsid w:val="00B94558"/>
    <w:rsid w:val="00B94BD5"/>
    <w:rsid w:val="00B95877"/>
    <w:rsid w:val="00BA710B"/>
    <w:rsid w:val="00BB06AE"/>
    <w:rsid w:val="00BB080C"/>
    <w:rsid w:val="00BB2CA7"/>
    <w:rsid w:val="00BC780C"/>
    <w:rsid w:val="00BD3F80"/>
    <w:rsid w:val="00BE13EB"/>
    <w:rsid w:val="00BF4209"/>
    <w:rsid w:val="00BF4423"/>
    <w:rsid w:val="00C032F5"/>
    <w:rsid w:val="00C05BC5"/>
    <w:rsid w:val="00C12FD6"/>
    <w:rsid w:val="00C146A4"/>
    <w:rsid w:val="00C400E7"/>
    <w:rsid w:val="00C4593E"/>
    <w:rsid w:val="00C5368A"/>
    <w:rsid w:val="00C615C4"/>
    <w:rsid w:val="00C62BFC"/>
    <w:rsid w:val="00C64EBE"/>
    <w:rsid w:val="00C71B8F"/>
    <w:rsid w:val="00C75C57"/>
    <w:rsid w:val="00C81677"/>
    <w:rsid w:val="00C93DBE"/>
    <w:rsid w:val="00CA2F50"/>
    <w:rsid w:val="00CB12B9"/>
    <w:rsid w:val="00CB1665"/>
    <w:rsid w:val="00CB55F1"/>
    <w:rsid w:val="00CC1349"/>
    <w:rsid w:val="00CD1CF0"/>
    <w:rsid w:val="00CD5054"/>
    <w:rsid w:val="00CE25D0"/>
    <w:rsid w:val="00CE58B8"/>
    <w:rsid w:val="00CE73F7"/>
    <w:rsid w:val="00D177B0"/>
    <w:rsid w:val="00D30804"/>
    <w:rsid w:val="00D324A5"/>
    <w:rsid w:val="00D3640F"/>
    <w:rsid w:val="00D40C63"/>
    <w:rsid w:val="00D42B4C"/>
    <w:rsid w:val="00D432C8"/>
    <w:rsid w:val="00D435B4"/>
    <w:rsid w:val="00D44F34"/>
    <w:rsid w:val="00D51612"/>
    <w:rsid w:val="00D52903"/>
    <w:rsid w:val="00D53F45"/>
    <w:rsid w:val="00D55F5A"/>
    <w:rsid w:val="00D64EFF"/>
    <w:rsid w:val="00D71B1C"/>
    <w:rsid w:val="00D7358D"/>
    <w:rsid w:val="00D807E0"/>
    <w:rsid w:val="00D85AC3"/>
    <w:rsid w:val="00DB569B"/>
    <w:rsid w:val="00DB6927"/>
    <w:rsid w:val="00DD57E1"/>
    <w:rsid w:val="00DD7A76"/>
    <w:rsid w:val="00DE045F"/>
    <w:rsid w:val="00DE1EEC"/>
    <w:rsid w:val="00DE6449"/>
    <w:rsid w:val="00DE6687"/>
    <w:rsid w:val="00DE7770"/>
    <w:rsid w:val="00DF379D"/>
    <w:rsid w:val="00E002A5"/>
    <w:rsid w:val="00E12A87"/>
    <w:rsid w:val="00E158B2"/>
    <w:rsid w:val="00E25E2E"/>
    <w:rsid w:val="00E351CB"/>
    <w:rsid w:val="00E37A77"/>
    <w:rsid w:val="00E57D5E"/>
    <w:rsid w:val="00E649EB"/>
    <w:rsid w:val="00E71C38"/>
    <w:rsid w:val="00E771B2"/>
    <w:rsid w:val="00E90BF5"/>
    <w:rsid w:val="00EA0570"/>
    <w:rsid w:val="00EA5920"/>
    <w:rsid w:val="00EA594D"/>
    <w:rsid w:val="00EA7B22"/>
    <w:rsid w:val="00EC3C1E"/>
    <w:rsid w:val="00ED5B7F"/>
    <w:rsid w:val="00EE3936"/>
    <w:rsid w:val="00EE4443"/>
    <w:rsid w:val="00EF0CC4"/>
    <w:rsid w:val="00EF14CC"/>
    <w:rsid w:val="00EF4AEC"/>
    <w:rsid w:val="00EF7825"/>
    <w:rsid w:val="00F0671F"/>
    <w:rsid w:val="00F1470E"/>
    <w:rsid w:val="00F16C18"/>
    <w:rsid w:val="00F177AC"/>
    <w:rsid w:val="00F24807"/>
    <w:rsid w:val="00F24F5B"/>
    <w:rsid w:val="00F26421"/>
    <w:rsid w:val="00F27FDA"/>
    <w:rsid w:val="00F35FBA"/>
    <w:rsid w:val="00F50360"/>
    <w:rsid w:val="00F5334C"/>
    <w:rsid w:val="00F6027A"/>
    <w:rsid w:val="00F75B89"/>
    <w:rsid w:val="00F83023"/>
    <w:rsid w:val="00F856AA"/>
    <w:rsid w:val="00FA329D"/>
    <w:rsid w:val="00FA3CC9"/>
    <w:rsid w:val="00FB1D1F"/>
    <w:rsid w:val="00FB4822"/>
    <w:rsid w:val="00FB4961"/>
    <w:rsid w:val="00FB562F"/>
    <w:rsid w:val="00FC2D31"/>
    <w:rsid w:val="00FC42D8"/>
    <w:rsid w:val="00FD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bg-BG"/>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1A5893"/>
    <w:pPr>
      <w:tabs>
        <w:tab w:val="center" w:pos="4536"/>
        <w:tab w:val="right" w:pos="9072"/>
      </w:tabs>
    </w:pPr>
  </w:style>
  <w:style w:type="character" w:customStyle="1" w:styleId="HeaderChar">
    <w:name w:val="Header Char"/>
    <w:link w:val="Header"/>
    <w:uiPriority w:val="99"/>
    <w:rsid w:val="001A5893"/>
    <w:rPr>
      <w:sz w:val="24"/>
      <w:szCs w:val="24"/>
      <w:lang w:eastAsia="bg-BG"/>
    </w:rPr>
  </w:style>
  <w:style w:type="paragraph" w:styleId="Footer">
    <w:name w:val="footer"/>
    <w:basedOn w:val="Normal"/>
    <w:link w:val="FooterChar"/>
    <w:uiPriority w:val="99"/>
    <w:rsid w:val="001A5893"/>
    <w:pPr>
      <w:tabs>
        <w:tab w:val="center" w:pos="4536"/>
        <w:tab w:val="right" w:pos="9072"/>
      </w:tabs>
    </w:pPr>
  </w:style>
  <w:style w:type="character" w:customStyle="1" w:styleId="FooterChar">
    <w:name w:val="Footer Char"/>
    <w:link w:val="Footer"/>
    <w:uiPriority w:val="99"/>
    <w:rsid w:val="001A5893"/>
    <w:rPr>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bg-BG"/>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1A5893"/>
    <w:pPr>
      <w:tabs>
        <w:tab w:val="center" w:pos="4536"/>
        <w:tab w:val="right" w:pos="9072"/>
      </w:tabs>
    </w:pPr>
  </w:style>
  <w:style w:type="character" w:customStyle="1" w:styleId="HeaderChar">
    <w:name w:val="Header Char"/>
    <w:link w:val="Header"/>
    <w:uiPriority w:val="99"/>
    <w:rsid w:val="001A5893"/>
    <w:rPr>
      <w:sz w:val="24"/>
      <w:szCs w:val="24"/>
      <w:lang w:eastAsia="bg-BG"/>
    </w:rPr>
  </w:style>
  <w:style w:type="paragraph" w:styleId="Footer">
    <w:name w:val="footer"/>
    <w:basedOn w:val="Normal"/>
    <w:link w:val="FooterChar"/>
    <w:uiPriority w:val="99"/>
    <w:rsid w:val="001A5893"/>
    <w:pPr>
      <w:tabs>
        <w:tab w:val="center" w:pos="4536"/>
        <w:tab w:val="right" w:pos="9072"/>
      </w:tabs>
    </w:pPr>
  </w:style>
  <w:style w:type="character" w:customStyle="1" w:styleId="FooterChar">
    <w:name w:val="Footer Char"/>
    <w:link w:val="Footer"/>
    <w:uiPriority w:val="99"/>
    <w:rsid w:val="001A5893"/>
    <w:rPr>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9736">
      <w:bodyDiv w:val="1"/>
      <w:marLeft w:val="0"/>
      <w:marRight w:val="0"/>
      <w:marTop w:val="0"/>
      <w:marBottom w:val="0"/>
      <w:divBdr>
        <w:top w:val="none" w:sz="0" w:space="0" w:color="auto"/>
        <w:left w:val="none" w:sz="0" w:space="0" w:color="auto"/>
        <w:bottom w:val="none" w:sz="0" w:space="0" w:color="auto"/>
        <w:right w:val="none" w:sz="0" w:space="0" w:color="auto"/>
      </w:divBdr>
    </w:div>
    <w:div w:id="189803360">
      <w:bodyDiv w:val="1"/>
      <w:marLeft w:val="0"/>
      <w:marRight w:val="0"/>
      <w:marTop w:val="0"/>
      <w:marBottom w:val="0"/>
      <w:divBdr>
        <w:top w:val="none" w:sz="0" w:space="0" w:color="auto"/>
        <w:left w:val="none" w:sz="0" w:space="0" w:color="auto"/>
        <w:bottom w:val="none" w:sz="0" w:space="0" w:color="auto"/>
        <w:right w:val="none" w:sz="0" w:space="0" w:color="auto"/>
      </w:divBdr>
      <w:divsChild>
        <w:div w:id="13381903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7876785">
      <w:bodyDiv w:val="1"/>
      <w:marLeft w:val="0"/>
      <w:marRight w:val="0"/>
      <w:marTop w:val="0"/>
      <w:marBottom w:val="0"/>
      <w:divBdr>
        <w:top w:val="none" w:sz="0" w:space="0" w:color="auto"/>
        <w:left w:val="none" w:sz="0" w:space="0" w:color="auto"/>
        <w:bottom w:val="none" w:sz="0" w:space="0" w:color="auto"/>
        <w:right w:val="none" w:sz="0" w:space="0" w:color="auto"/>
      </w:divBdr>
      <w:divsChild>
        <w:div w:id="942886331">
          <w:marLeft w:val="0"/>
          <w:marRight w:val="0"/>
          <w:marTop w:val="0"/>
          <w:marBottom w:val="0"/>
          <w:divBdr>
            <w:top w:val="none" w:sz="0" w:space="0" w:color="auto"/>
            <w:left w:val="none" w:sz="0" w:space="0" w:color="auto"/>
            <w:bottom w:val="none" w:sz="0" w:space="0" w:color="auto"/>
            <w:right w:val="none" w:sz="0" w:space="0" w:color="auto"/>
          </w:divBdr>
          <w:divsChild>
            <w:div w:id="1517042930">
              <w:marLeft w:val="0"/>
              <w:marRight w:val="0"/>
              <w:marTop w:val="0"/>
              <w:marBottom w:val="0"/>
              <w:divBdr>
                <w:top w:val="none" w:sz="0" w:space="0" w:color="auto"/>
                <w:left w:val="none" w:sz="0" w:space="0" w:color="auto"/>
                <w:bottom w:val="none" w:sz="0" w:space="0" w:color="auto"/>
                <w:right w:val="none" w:sz="0" w:space="0" w:color="auto"/>
              </w:divBdr>
              <w:divsChild>
                <w:div w:id="1428816141">
                  <w:marLeft w:val="0"/>
                  <w:marRight w:val="0"/>
                  <w:marTop w:val="0"/>
                  <w:marBottom w:val="0"/>
                  <w:divBdr>
                    <w:top w:val="none" w:sz="0" w:space="0" w:color="auto"/>
                    <w:left w:val="none" w:sz="0" w:space="0" w:color="auto"/>
                    <w:bottom w:val="none" w:sz="0" w:space="0" w:color="auto"/>
                    <w:right w:val="none" w:sz="0" w:space="0" w:color="auto"/>
                  </w:divBdr>
                  <w:divsChild>
                    <w:div w:id="368839433">
                      <w:marLeft w:val="0"/>
                      <w:marRight w:val="0"/>
                      <w:marTop w:val="0"/>
                      <w:marBottom w:val="0"/>
                      <w:divBdr>
                        <w:top w:val="none" w:sz="0" w:space="0" w:color="auto"/>
                        <w:left w:val="none" w:sz="0" w:space="0" w:color="auto"/>
                        <w:bottom w:val="none" w:sz="0" w:space="0" w:color="auto"/>
                        <w:right w:val="none" w:sz="0" w:space="0" w:color="auto"/>
                      </w:divBdr>
                      <w:divsChild>
                        <w:div w:id="1426654155">
                          <w:marLeft w:val="0"/>
                          <w:marRight w:val="0"/>
                          <w:marTop w:val="0"/>
                          <w:marBottom w:val="0"/>
                          <w:divBdr>
                            <w:top w:val="none" w:sz="0" w:space="0" w:color="auto"/>
                            <w:left w:val="none" w:sz="0" w:space="0" w:color="auto"/>
                            <w:bottom w:val="none" w:sz="0" w:space="0" w:color="auto"/>
                            <w:right w:val="none" w:sz="0" w:space="0" w:color="auto"/>
                          </w:divBdr>
                          <w:divsChild>
                            <w:div w:id="1082408623">
                              <w:marLeft w:val="0"/>
                              <w:marRight w:val="0"/>
                              <w:marTop w:val="0"/>
                              <w:marBottom w:val="0"/>
                              <w:divBdr>
                                <w:top w:val="none" w:sz="0" w:space="0" w:color="auto"/>
                                <w:left w:val="none" w:sz="0" w:space="0" w:color="auto"/>
                                <w:bottom w:val="none" w:sz="0" w:space="0" w:color="auto"/>
                                <w:right w:val="none" w:sz="0" w:space="0" w:color="auto"/>
                              </w:divBdr>
                              <w:divsChild>
                                <w:div w:id="437141511">
                                  <w:marLeft w:val="0"/>
                                  <w:marRight w:val="0"/>
                                  <w:marTop w:val="0"/>
                                  <w:marBottom w:val="0"/>
                                  <w:divBdr>
                                    <w:top w:val="none" w:sz="0" w:space="0" w:color="auto"/>
                                    <w:left w:val="none" w:sz="0" w:space="0" w:color="auto"/>
                                    <w:bottom w:val="none" w:sz="0" w:space="0" w:color="auto"/>
                                    <w:right w:val="none" w:sz="0" w:space="0" w:color="auto"/>
                                  </w:divBdr>
                                </w:div>
                                <w:div w:id="8241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236692">
      <w:bodyDiv w:val="1"/>
      <w:marLeft w:val="0"/>
      <w:marRight w:val="0"/>
      <w:marTop w:val="0"/>
      <w:marBottom w:val="0"/>
      <w:divBdr>
        <w:top w:val="none" w:sz="0" w:space="0" w:color="auto"/>
        <w:left w:val="none" w:sz="0" w:space="0" w:color="auto"/>
        <w:bottom w:val="none" w:sz="0" w:space="0" w:color="auto"/>
        <w:right w:val="none" w:sz="0" w:space="0" w:color="auto"/>
      </w:divBdr>
    </w:div>
    <w:div w:id="643660163">
      <w:bodyDiv w:val="1"/>
      <w:marLeft w:val="0"/>
      <w:marRight w:val="0"/>
      <w:marTop w:val="0"/>
      <w:marBottom w:val="0"/>
      <w:divBdr>
        <w:top w:val="none" w:sz="0" w:space="0" w:color="auto"/>
        <w:left w:val="none" w:sz="0" w:space="0" w:color="auto"/>
        <w:bottom w:val="none" w:sz="0" w:space="0" w:color="auto"/>
        <w:right w:val="none" w:sz="0" w:space="0" w:color="auto"/>
      </w:divBdr>
    </w:div>
    <w:div w:id="658193331">
      <w:bodyDiv w:val="1"/>
      <w:marLeft w:val="0"/>
      <w:marRight w:val="0"/>
      <w:marTop w:val="0"/>
      <w:marBottom w:val="0"/>
      <w:divBdr>
        <w:top w:val="none" w:sz="0" w:space="0" w:color="auto"/>
        <w:left w:val="none" w:sz="0" w:space="0" w:color="auto"/>
        <w:bottom w:val="none" w:sz="0" w:space="0" w:color="auto"/>
        <w:right w:val="none" w:sz="0" w:space="0" w:color="auto"/>
      </w:divBdr>
      <w:divsChild>
        <w:div w:id="1512791411">
          <w:marLeft w:val="0"/>
          <w:marRight w:val="0"/>
          <w:marTop w:val="0"/>
          <w:marBottom w:val="0"/>
          <w:divBdr>
            <w:top w:val="none" w:sz="0" w:space="0" w:color="auto"/>
            <w:left w:val="none" w:sz="0" w:space="0" w:color="auto"/>
            <w:bottom w:val="none" w:sz="0" w:space="0" w:color="auto"/>
            <w:right w:val="none" w:sz="0" w:space="0" w:color="auto"/>
          </w:divBdr>
          <w:divsChild>
            <w:div w:id="402872222">
              <w:marLeft w:val="0"/>
              <w:marRight w:val="0"/>
              <w:marTop w:val="0"/>
              <w:marBottom w:val="0"/>
              <w:divBdr>
                <w:top w:val="none" w:sz="0" w:space="0" w:color="auto"/>
                <w:left w:val="none" w:sz="0" w:space="0" w:color="auto"/>
                <w:bottom w:val="none" w:sz="0" w:space="0" w:color="auto"/>
                <w:right w:val="none" w:sz="0" w:space="0" w:color="auto"/>
              </w:divBdr>
              <w:divsChild>
                <w:div w:id="1892837210">
                  <w:marLeft w:val="0"/>
                  <w:marRight w:val="0"/>
                  <w:marTop w:val="0"/>
                  <w:marBottom w:val="0"/>
                  <w:divBdr>
                    <w:top w:val="none" w:sz="0" w:space="0" w:color="auto"/>
                    <w:left w:val="none" w:sz="0" w:space="0" w:color="auto"/>
                    <w:bottom w:val="none" w:sz="0" w:space="0" w:color="auto"/>
                    <w:right w:val="none" w:sz="0" w:space="0" w:color="auto"/>
                  </w:divBdr>
                  <w:divsChild>
                    <w:div w:id="1615794537">
                      <w:marLeft w:val="0"/>
                      <w:marRight w:val="0"/>
                      <w:marTop w:val="0"/>
                      <w:marBottom w:val="0"/>
                      <w:divBdr>
                        <w:top w:val="none" w:sz="0" w:space="0" w:color="auto"/>
                        <w:left w:val="none" w:sz="0" w:space="0" w:color="auto"/>
                        <w:bottom w:val="none" w:sz="0" w:space="0" w:color="auto"/>
                        <w:right w:val="none" w:sz="0" w:space="0" w:color="auto"/>
                      </w:divBdr>
                      <w:divsChild>
                        <w:div w:id="6147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00298">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64E98-5FD6-4E49-A30F-18B6E00D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General block exemption Regulation (Reg</vt:lpstr>
    </vt:vector>
  </TitlesOfParts>
  <Company>European Commission</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block exemption Regulation (Reg</dc:title>
  <dc:creator>Stephanie Nieuwbourg</dc:creator>
  <cp:lastModifiedBy>Ивелина Кирилова</cp:lastModifiedBy>
  <cp:revision>2</cp:revision>
  <cp:lastPrinted>2015-03-09T11:11:00Z</cp:lastPrinted>
  <dcterms:created xsi:type="dcterms:W3CDTF">2016-04-05T12:29:00Z</dcterms:created>
  <dcterms:modified xsi:type="dcterms:W3CDTF">2016-04-05T12:29:00Z</dcterms:modified>
</cp:coreProperties>
</file>